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3A1" w:rsidRPr="00FC7DEA" w:rsidRDefault="004243A1" w:rsidP="004243A1">
      <w:pPr>
        <w:tabs>
          <w:tab w:val="left" w:pos="1455"/>
        </w:tabs>
        <w:spacing w:line="240" w:lineRule="auto"/>
        <w:ind w:right="40"/>
        <w:rPr>
          <w:b/>
          <w:color w:val="000000" w:themeColor="text1"/>
        </w:rPr>
      </w:pPr>
      <w:r w:rsidRPr="00FC7DEA">
        <w:rPr>
          <w:b/>
          <w:color w:val="000000" w:themeColor="text1"/>
        </w:rPr>
        <w:tab/>
        <w:t>HUBUNGAN LINGKAR</w:t>
      </w:r>
      <w:r>
        <w:rPr>
          <w:b/>
          <w:color w:val="000000" w:themeColor="text1"/>
          <w:lang w:val="id-ID"/>
        </w:rPr>
        <w:t xml:space="preserve"> </w:t>
      </w:r>
      <w:r w:rsidRPr="00FC7DEA">
        <w:rPr>
          <w:b/>
          <w:color w:val="000000" w:themeColor="text1"/>
        </w:rPr>
        <w:t xml:space="preserve">LENGAN </w:t>
      </w:r>
      <w:proofErr w:type="gramStart"/>
      <w:r w:rsidRPr="00FC7DEA">
        <w:rPr>
          <w:b/>
          <w:color w:val="000000" w:themeColor="text1"/>
        </w:rPr>
        <w:t>ATAS  (</w:t>
      </w:r>
      <w:proofErr w:type="gramEnd"/>
      <w:r w:rsidRPr="00FC7DEA">
        <w:rPr>
          <w:b/>
          <w:color w:val="000000" w:themeColor="text1"/>
        </w:rPr>
        <w:t>LILA)  IBU</w:t>
      </w:r>
    </w:p>
    <w:p w:rsidR="004243A1" w:rsidRPr="00FC7DEA" w:rsidRDefault="004243A1" w:rsidP="004243A1">
      <w:pPr>
        <w:tabs>
          <w:tab w:val="left" w:pos="1701"/>
        </w:tabs>
        <w:spacing w:line="240" w:lineRule="auto"/>
        <w:ind w:right="40"/>
        <w:jc w:val="center"/>
        <w:rPr>
          <w:b/>
          <w:color w:val="000000" w:themeColor="text1"/>
        </w:rPr>
      </w:pPr>
      <w:r w:rsidRPr="00FC7DEA">
        <w:rPr>
          <w:b/>
          <w:color w:val="000000" w:themeColor="text1"/>
        </w:rPr>
        <w:t>HAMIL DENGAN BERAT BADAN LAHIR BAYI DI RUMAH BERSALIN CEMPEDAK TAHUN 2013</w:t>
      </w:r>
    </w:p>
    <w:p w:rsidR="004243A1" w:rsidRPr="00FC7DEA" w:rsidRDefault="004243A1" w:rsidP="004243A1">
      <w:pPr>
        <w:tabs>
          <w:tab w:val="left" w:pos="1701"/>
        </w:tabs>
        <w:spacing w:line="240" w:lineRule="auto"/>
        <w:ind w:right="40"/>
        <w:jc w:val="center"/>
        <w:rPr>
          <w:b/>
          <w:color w:val="000000" w:themeColor="text1"/>
        </w:rPr>
      </w:pPr>
    </w:p>
    <w:p w:rsidR="004243A1" w:rsidRPr="00FC7DEA" w:rsidRDefault="004243A1" w:rsidP="004243A1">
      <w:pPr>
        <w:tabs>
          <w:tab w:val="left" w:pos="1701"/>
        </w:tabs>
        <w:spacing w:line="240" w:lineRule="auto"/>
        <w:ind w:right="40"/>
        <w:jc w:val="center"/>
        <w:rPr>
          <w:b/>
          <w:color w:val="000000" w:themeColor="text1"/>
          <w:lang w:val="id-ID"/>
        </w:rPr>
      </w:pPr>
      <w:r w:rsidRPr="00FC7DEA">
        <w:rPr>
          <w:b/>
          <w:color w:val="000000" w:themeColor="text1"/>
        </w:rPr>
        <w:t>Okta Vitriani</w:t>
      </w:r>
      <w:r>
        <w:rPr>
          <w:b/>
          <w:color w:val="000000" w:themeColor="text1"/>
          <w:lang w:val="id-ID"/>
        </w:rPr>
        <w:t>,</w:t>
      </w:r>
      <w:r w:rsidRPr="00FC7DEA">
        <w:rPr>
          <w:b/>
          <w:color w:val="000000" w:themeColor="text1"/>
        </w:rPr>
        <w:t xml:space="preserve"> Prastiwi Tegar Ardyta</w:t>
      </w:r>
      <w:proofErr w:type="gramStart"/>
      <w:r w:rsidRPr="00FC7DEA">
        <w:rPr>
          <w:b/>
          <w:color w:val="000000" w:themeColor="text1"/>
        </w:rPr>
        <w:t>, ,</w:t>
      </w:r>
      <w:proofErr w:type="gramEnd"/>
      <w:r w:rsidRPr="00FC7DEA">
        <w:rPr>
          <w:b/>
          <w:color w:val="000000" w:themeColor="text1"/>
        </w:rPr>
        <w:t xml:space="preserve"> Hamidah</w:t>
      </w:r>
    </w:p>
    <w:p w:rsidR="004243A1" w:rsidRDefault="004243A1" w:rsidP="004243A1">
      <w:pPr>
        <w:pBdr>
          <w:top w:val="single" w:sz="4" w:space="0" w:color="auto"/>
        </w:pBdr>
        <w:spacing w:line="240" w:lineRule="auto"/>
        <w:ind w:right="40"/>
        <w:jc w:val="center"/>
        <w:rPr>
          <w:b/>
          <w:color w:val="000000" w:themeColor="text1"/>
          <w:lang w:val="id-ID"/>
        </w:rPr>
      </w:pPr>
    </w:p>
    <w:p w:rsidR="004243A1" w:rsidRPr="00FC7DEA" w:rsidRDefault="004243A1" w:rsidP="004243A1">
      <w:pPr>
        <w:pBdr>
          <w:top w:val="single" w:sz="4" w:space="0" w:color="auto"/>
        </w:pBdr>
        <w:spacing w:line="240" w:lineRule="auto"/>
        <w:ind w:right="40"/>
        <w:jc w:val="center"/>
        <w:rPr>
          <w:b/>
          <w:color w:val="000000" w:themeColor="text1"/>
        </w:rPr>
      </w:pPr>
      <w:r w:rsidRPr="00FC7DEA">
        <w:rPr>
          <w:b/>
          <w:color w:val="000000" w:themeColor="text1"/>
        </w:rPr>
        <w:t xml:space="preserve">ABSTRAK </w:t>
      </w:r>
    </w:p>
    <w:p w:rsidR="004243A1" w:rsidRPr="00FC7DEA" w:rsidRDefault="004243A1" w:rsidP="004243A1">
      <w:pPr>
        <w:pBdr>
          <w:top w:val="single" w:sz="4" w:space="0" w:color="auto"/>
        </w:pBdr>
        <w:spacing w:line="240" w:lineRule="auto"/>
        <w:ind w:right="40"/>
        <w:jc w:val="center"/>
        <w:rPr>
          <w:b/>
          <w:color w:val="000000" w:themeColor="text1"/>
        </w:rPr>
      </w:pPr>
    </w:p>
    <w:p w:rsidR="004243A1" w:rsidRPr="00FC7DEA" w:rsidRDefault="004243A1" w:rsidP="004243A1">
      <w:pPr>
        <w:pBdr>
          <w:top w:val="single" w:sz="4" w:space="0" w:color="auto"/>
        </w:pBdr>
        <w:spacing w:line="240" w:lineRule="auto"/>
        <w:ind w:right="40" w:firstLine="720"/>
        <w:rPr>
          <w:b/>
          <w:color w:val="000000" w:themeColor="text1"/>
          <w:sz w:val="28"/>
        </w:rPr>
      </w:pPr>
      <w:r w:rsidRPr="00FC7DEA">
        <w:rPr>
          <w:color w:val="000000" w:themeColor="text1"/>
        </w:rPr>
        <w:t xml:space="preserve">Riset Kesehatan Dasar (Riskesdas) tahun 2013 menyatakan bahwa dari sejumlah bayi yang diketahui berat badan lahirnya, 85% lahir dengan berat badan 2500-4000 gram, 10,2% lahir dengan berat badan &lt; 2500 gram dan 4,8% dengan berat badan lahir &gt; 4000 gram. Di Pekanbaru, khususnya di Rumah BersalinCempedak pada tahun 2013 terdapat 112 bayi yang dilahirkan, 5 diantaranya terlahir dengan berat badan &lt; 2500 gram. </w:t>
      </w:r>
      <w:proofErr w:type="gramStart"/>
      <w:r w:rsidRPr="00FC7DEA">
        <w:rPr>
          <w:color w:val="000000" w:themeColor="text1"/>
        </w:rPr>
        <w:t>Berat badan lahir bayi dapat diduga berdasarkan penilaian status gizi ibu selama hamil.</w:t>
      </w:r>
      <w:proofErr w:type="gramEnd"/>
      <w:r w:rsidRPr="00FC7DEA">
        <w:rPr>
          <w:color w:val="000000" w:themeColor="text1"/>
        </w:rPr>
        <w:t xml:space="preserve"> </w:t>
      </w:r>
      <w:proofErr w:type="gramStart"/>
      <w:r w:rsidRPr="00FC7DEA">
        <w:rPr>
          <w:color w:val="000000" w:themeColor="text1"/>
        </w:rPr>
        <w:t>Cara yang sederhana adalah dengan mengukur lingkar lengan atas (LILA).</w:t>
      </w:r>
      <w:proofErr w:type="gramEnd"/>
      <w:r w:rsidRPr="00FC7DEA">
        <w:rPr>
          <w:color w:val="000000" w:themeColor="text1"/>
        </w:rPr>
        <w:t xml:space="preserve"> </w:t>
      </w:r>
      <w:proofErr w:type="gramStart"/>
      <w:r w:rsidRPr="00FC7DEA">
        <w:rPr>
          <w:color w:val="000000" w:themeColor="text1"/>
        </w:rPr>
        <w:t>Tujuan penelitian ini yaitu untuk mengetahui hubungan LILA ibu hamil dengan berat badan lahir bayi.</w:t>
      </w:r>
      <w:proofErr w:type="gramEnd"/>
      <w:r w:rsidRPr="00FC7DEA">
        <w:rPr>
          <w:color w:val="000000" w:themeColor="text1"/>
        </w:rPr>
        <w:t xml:space="preserve"> </w:t>
      </w:r>
      <w:proofErr w:type="gramStart"/>
      <w:r w:rsidRPr="00FC7DEA">
        <w:rPr>
          <w:color w:val="000000" w:themeColor="text1"/>
        </w:rPr>
        <w:t>Penelitiandeskriptif analitik dengan rancangan</w:t>
      </w:r>
      <w:r w:rsidRPr="00FC7DEA">
        <w:rPr>
          <w:i/>
          <w:color w:val="000000" w:themeColor="text1"/>
        </w:rPr>
        <w:t>cross sectional</w:t>
      </w:r>
      <w:r w:rsidRPr="00FC7DEA">
        <w:rPr>
          <w:color w:val="000000" w:themeColor="text1"/>
        </w:rPr>
        <w:t xml:space="preserve"> ini menggunakan data sekunder.</w:t>
      </w:r>
      <w:proofErr w:type="gramEnd"/>
      <w:r w:rsidRPr="00FC7DEA">
        <w:rPr>
          <w:color w:val="000000" w:themeColor="text1"/>
        </w:rPr>
        <w:t xml:space="preserve"> </w:t>
      </w:r>
      <w:proofErr w:type="gramStart"/>
      <w:r w:rsidRPr="00FC7DEA">
        <w:rPr>
          <w:color w:val="000000" w:themeColor="text1"/>
        </w:rPr>
        <w:t>Penelitian ini dilaksanakan pada bulan Desember 2013 sampai Juni 2014 di Rumah Bersalin Cempedak.</w:t>
      </w:r>
      <w:proofErr w:type="gramEnd"/>
      <w:r w:rsidRPr="00FC7DEA">
        <w:rPr>
          <w:color w:val="000000" w:themeColor="text1"/>
        </w:rPr>
        <w:t xml:space="preserve"> Populasi adalah semua ibu yang tercatat telah melakukan pemeriksaan kehamilan dan melahirkan di Rumah Bersalin Cempedak tahun 2013, yaitu sebanyak 112 kasus.Semua populasi pada penelitian ini dijadikan sebagai sampel (</w:t>
      </w:r>
      <w:r w:rsidRPr="00FC7DEA">
        <w:rPr>
          <w:i/>
          <w:color w:val="000000" w:themeColor="text1"/>
        </w:rPr>
        <w:t>total sampling</w:t>
      </w:r>
      <w:r w:rsidRPr="00FC7DEA">
        <w:rPr>
          <w:color w:val="000000" w:themeColor="text1"/>
        </w:rPr>
        <w:t xml:space="preserve">).Analisa data yang digunakan adalah univariat dan bivariat, dimana analisa bivariat menggunakan uji </w:t>
      </w:r>
      <w:r w:rsidRPr="00FC7DEA">
        <w:rPr>
          <w:i/>
          <w:color w:val="000000" w:themeColor="text1"/>
        </w:rPr>
        <w:t xml:space="preserve">chi square </w:t>
      </w:r>
      <w:r w:rsidRPr="00FC7DEA">
        <w:rPr>
          <w:color w:val="000000" w:themeColor="text1"/>
        </w:rPr>
        <w:t>dengan</w:t>
      </w:r>
      <w:r w:rsidRPr="00FC7DEA">
        <w:rPr>
          <w:i/>
          <w:color w:val="000000" w:themeColor="text1"/>
        </w:rPr>
        <w:t>SPSS</w:t>
      </w:r>
      <w:r w:rsidRPr="00FC7DEA">
        <w:rPr>
          <w:color w:val="000000" w:themeColor="text1"/>
        </w:rPr>
        <w:t xml:space="preserve"> 20,0. Hasil penelitian menunjukkan ukuran LILA ≥ 23</w:t>
      </w:r>
      <w:proofErr w:type="gramStart"/>
      <w:r w:rsidRPr="00FC7DEA">
        <w:rPr>
          <w:color w:val="000000" w:themeColor="text1"/>
        </w:rPr>
        <w:t>,5</w:t>
      </w:r>
      <w:proofErr w:type="gramEnd"/>
      <w:r w:rsidRPr="00FC7DEA">
        <w:rPr>
          <w:color w:val="000000" w:themeColor="text1"/>
        </w:rPr>
        <w:t xml:space="preserve"> cm  (99,1%), kemudian LILA &lt; 23,5 cm  (0,9%).  Berat badan lahir bayi ≥ 2500 gram (95</w:t>
      </w:r>
      <w:proofErr w:type="gramStart"/>
      <w:r w:rsidRPr="00FC7DEA">
        <w:rPr>
          <w:color w:val="000000" w:themeColor="text1"/>
        </w:rPr>
        <w:t>,5</w:t>
      </w:r>
      <w:proofErr w:type="gramEnd"/>
      <w:r w:rsidRPr="00FC7DEA">
        <w:rPr>
          <w:color w:val="000000" w:themeColor="text1"/>
        </w:rPr>
        <w:t>%), berat badan lahir bayi &lt; 2500 gram (4,5%) dan terdapat hubungan yang bermakna antara LILA ibu hamil dengan berat badan lahir bayi.Diharapkan kepada bidan maupun tenaga kesehatan lain untuk lebih meningkatkan pelayanan kesehatan, baik berupa pemeriksaan kehamilan maupun penyuluhan tentang gizi sehingga risiko kurang energi kronis (KEK) dan angka BBLR menurun.</w:t>
      </w:r>
    </w:p>
    <w:p w:rsidR="004243A1" w:rsidRPr="00FC7DEA" w:rsidRDefault="004243A1" w:rsidP="004243A1">
      <w:pPr>
        <w:spacing w:line="240" w:lineRule="auto"/>
        <w:ind w:right="40"/>
        <w:rPr>
          <w:color w:val="000000" w:themeColor="text1"/>
        </w:rPr>
      </w:pPr>
    </w:p>
    <w:p w:rsidR="004243A1" w:rsidRPr="00FC7DEA" w:rsidRDefault="004243A1" w:rsidP="004243A1">
      <w:pPr>
        <w:tabs>
          <w:tab w:val="left" w:pos="1701"/>
        </w:tabs>
        <w:spacing w:line="240" w:lineRule="auto"/>
        <w:rPr>
          <w:b/>
          <w:color w:val="000000" w:themeColor="text1"/>
        </w:rPr>
      </w:pPr>
      <w:r w:rsidRPr="00FC7DEA">
        <w:rPr>
          <w:b/>
          <w:color w:val="000000" w:themeColor="text1"/>
        </w:rPr>
        <w:t>Daftar Pustaka</w:t>
      </w:r>
      <w:r w:rsidRPr="00FC7DEA">
        <w:rPr>
          <w:b/>
          <w:color w:val="000000" w:themeColor="text1"/>
        </w:rPr>
        <w:tab/>
      </w:r>
      <w:r w:rsidRPr="00FC7DEA">
        <w:rPr>
          <w:b/>
          <w:color w:val="000000" w:themeColor="text1"/>
        </w:rPr>
        <w:tab/>
        <w:t>: 23 referensi (2001-2013)</w:t>
      </w:r>
    </w:p>
    <w:p w:rsidR="004243A1" w:rsidRPr="00FC7DEA" w:rsidRDefault="004243A1" w:rsidP="004243A1">
      <w:pPr>
        <w:spacing w:line="240" w:lineRule="auto"/>
        <w:rPr>
          <w:b/>
          <w:i/>
          <w:color w:val="000000" w:themeColor="text1"/>
        </w:rPr>
      </w:pPr>
      <w:r w:rsidRPr="00FC7DEA">
        <w:rPr>
          <w:b/>
          <w:color w:val="000000" w:themeColor="text1"/>
        </w:rPr>
        <w:t>Kata Kunci</w:t>
      </w:r>
      <w:r w:rsidRPr="00FC7DEA">
        <w:rPr>
          <w:b/>
          <w:color w:val="000000" w:themeColor="text1"/>
        </w:rPr>
        <w:tab/>
      </w:r>
      <w:r w:rsidRPr="00FC7DEA">
        <w:rPr>
          <w:b/>
          <w:color w:val="000000" w:themeColor="text1"/>
        </w:rPr>
        <w:tab/>
        <w:t xml:space="preserve">: </w:t>
      </w:r>
      <w:r w:rsidRPr="00FC7DEA">
        <w:rPr>
          <w:b/>
          <w:i/>
          <w:color w:val="000000" w:themeColor="text1"/>
        </w:rPr>
        <w:t>Lingkar Lengan Atas (LILA), berat badan lahir</w:t>
      </w:r>
    </w:p>
    <w:p w:rsidR="004243A1" w:rsidRPr="00FC7DEA" w:rsidRDefault="004243A1" w:rsidP="004243A1">
      <w:pPr>
        <w:spacing w:line="240" w:lineRule="auto"/>
        <w:rPr>
          <w:b/>
          <w:i/>
          <w:color w:val="000000" w:themeColor="text1"/>
        </w:rPr>
      </w:pPr>
    </w:p>
    <w:p w:rsidR="004243A1" w:rsidRPr="00FC7DEA" w:rsidRDefault="004243A1" w:rsidP="004243A1">
      <w:pPr>
        <w:spacing w:line="240" w:lineRule="auto"/>
        <w:rPr>
          <w:b/>
          <w:color w:val="000000" w:themeColor="text1"/>
        </w:rPr>
        <w:sectPr w:rsidR="004243A1" w:rsidRPr="00FC7DEA" w:rsidSect="00FC7DEA">
          <w:pgSz w:w="11907" w:h="16840" w:code="9"/>
          <w:pgMar w:top="1701" w:right="1701" w:bottom="1701" w:left="2268" w:header="720" w:footer="720" w:gutter="0"/>
          <w:cols w:space="720"/>
          <w:docGrid w:linePitch="360"/>
        </w:sectPr>
      </w:pPr>
    </w:p>
    <w:p w:rsidR="004243A1" w:rsidRPr="00FC7DEA" w:rsidRDefault="004243A1" w:rsidP="004243A1">
      <w:pPr>
        <w:spacing w:line="240" w:lineRule="auto"/>
        <w:rPr>
          <w:b/>
          <w:color w:val="000000" w:themeColor="text1"/>
        </w:rPr>
      </w:pPr>
      <w:r w:rsidRPr="00FC7DEA">
        <w:rPr>
          <w:b/>
          <w:color w:val="000000" w:themeColor="text1"/>
        </w:rPr>
        <w:lastRenderedPageBreak/>
        <w:t>PENDAHULUAN</w:t>
      </w:r>
    </w:p>
    <w:p w:rsidR="004243A1" w:rsidRPr="00FC7DEA" w:rsidRDefault="004243A1" w:rsidP="004243A1">
      <w:pPr>
        <w:spacing w:line="240" w:lineRule="auto"/>
        <w:ind w:firstLine="567"/>
        <w:rPr>
          <w:color w:val="000000" w:themeColor="text1"/>
        </w:rPr>
      </w:pPr>
      <w:r w:rsidRPr="00FC7DEA">
        <w:rPr>
          <w:rFonts w:eastAsia="Times New Roman"/>
          <w:color w:val="000000" w:themeColor="text1"/>
        </w:rPr>
        <w:t xml:space="preserve">Riset Kesehatan Dasar (Riskesdas) tahun 2013 menyatakan bahwa dari sejumlah bayi yang diketahui berat badan lahirnya, 85% lahir dengan berat badan 2500 - 4000 gram, 10,2% lahir dengan berat badan &lt; 2500 gram dan 4,8% dengan berat badan lahir &gt; 4000 gram. Sedangkan dalam profil kesehatan Provinsi Riau tahun </w:t>
      </w:r>
      <w:r w:rsidRPr="00FC7DEA">
        <w:rPr>
          <w:color w:val="000000" w:themeColor="text1"/>
        </w:rPr>
        <w:t>2012, proporsi penyebab  kematian akibat bayi berat lahir rendah (BBLR)  yaitu sebesar 36%, angka ini meningkat dari tahun sebelumnya yang hanya sebesar 29,79%. Di Pekanbaru sendiri angka kejadian BBLR tercatat 20.931 (16</w:t>
      </w:r>
      <w:proofErr w:type="gramStart"/>
      <w:r w:rsidRPr="00FC7DEA">
        <w:rPr>
          <w:color w:val="000000" w:themeColor="text1"/>
        </w:rPr>
        <w:t>,27</w:t>
      </w:r>
      <w:proofErr w:type="gramEnd"/>
      <w:r w:rsidRPr="00FC7DEA">
        <w:rPr>
          <w:color w:val="000000" w:themeColor="text1"/>
        </w:rPr>
        <w:t>%) kasus dari 128.663 kasus yang ditemukan di Provinsi Riau. Sementara itu, studi pendahuluan yang dilakukan oleh peneliti di Rumah Bersalin Cempedak diperoleh data, yaitu sepanjang tahun 2013 terdapat 112 bayi yang dilahirkan, dimana 107 (95,5%) bayi memiliki berat badan 2500 - 4000 gram, 5 (4,5%) lainnya lahir dengan berat badan &lt; 2500 gram.</w:t>
      </w:r>
    </w:p>
    <w:p w:rsidR="004243A1" w:rsidRPr="00FC7DEA" w:rsidRDefault="004243A1" w:rsidP="004243A1">
      <w:pPr>
        <w:spacing w:line="240" w:lineRule="auto"/>
        <w:ind w:firstLine="567"/>
        <w:rPr>
          <w:rFonts w:eastAsia="Times New Roman"/>
          <w:color w:val="000000" w:themeColor="text1"/>
        </w:rPr>
      </w:pPr>
      <w:proofErr w:type="gramStart"/>
      <w:r w:rsidRPr="00FC7DEA">
        <w:rPr>
          <w:rFonts w:eastAsia="Times New Roman"/>
          <w:color w:val="000000" w:themeColor="text1"/>
        </w:rPr>
        <w:t>Berat badan bayi lahir dapat diduga berdasarkan penilaian status gizi ibu selama hamil.</w:t>
      </w:r>
      <w:proofErr w:type="gramEnd"/>
      <w:r w:rsidRPr="00FC7DEA">
        <w:rPr>
          <w:rFonts w:eastAsia="Times New Roman"/>
          <w:color w:val="000000" w:themeColor="text1"/>
        </w:rPr>
        <w:t xml:space="preserve"> </w:t>
      </w:r>
      <w:proofErr w:type="gramStart"/>
      <w:r w:rsidRPr="00FC7DEA">
        <w:rPr>
          <w:rFonts w:eastAsia="Times New Roman"/>
          <w:color w:val="000000" w:themeColor="text1"/>
        </w:rPr>
        <w:t>Oleh karena itu perlu adanya metode deteksi dini secara sederhana yang dapat mencerminkan pertumbuhan janin intrauterin dengan demikian dapat dilakukan perbaikan gizi ibu dalam kehamilan.</w:t>
      </w:r>
      <w:proofErr w:type="gramEnd"/>
      <w:r w:rsidRPr="00FC7DEA">
        <w:rPr>
          <w:rFonts w:eastAsia="Times New Roman"/>
          <w:color w:val="000000" w:themeColor="text1"/>
        </w:rPr>
        <w:t xml:space="preserve"> </w:t>
      </w:r>
      <w:proofErr w:type="gramStart"/>
      <w:r w:rsidRPr="00FC7DEA">
        <w:rPr>
          <w:rFonts w:eastAsia="Times New Roman"/>
          <w:color w:val="000000" w:themeColor="text1"/>
        </w:rPr>
        <w:t>Cara yang sederhana adalah dengan mengukur lingkar lengan atas (LILA).</w:t>
      </w:r>
      <w:proofErr w:type="gramEnd"/>
      <w:r w:rsidRPr="00FC7DEA">
        <w:rPr>
          <w:rFonts w:eastAsia="Times New Roman"/>
          <w:color w:val="000000" w:themeColor="text1"/>
        </w:rPr>
        <w:t xml:space="preserve"> </w:t>
      </w:r>
      <w:r w:rsidRPr="00FC7DEA">
        <w:rPr>
          <w:color w:val="000000" w:themeColor="text1"/>
          <w:lang w:val="nb-NO"/>
        </w:rPr>
        <w:t>B</w:t>
      </w:r>
      <w:r w:rsidRPr="00FC7DEA">
        <w:rPr>
          <w:color w:val="000000" w:themeColor="text1"/>
          <w:lang w:val="id-ID"/>
        </w:rPr>
        <w:t>ila ukuran L</w:t>
      </w:r>
      <w:r w:rsidRPr="00FC7DEA">
        <w:rPr>
          <w:color w:val="000000" w:themeColor="text1"/>
        </w:rPr>
        <w:t>I</w:t>
      </w:r>
      <w:r w:rsidRPr="00FC7DEA">
        <w:rPr>
          <w:color w:val="000000" w:themeColor="text1"/>
          <w:lang w:val="id-ID"/>
        </w:rPr>
        <w:t xml:space="preserve">LA kurang dari 23,5 cm maka ibu hamil tersebut dikatakan </w:t>
      </w:r>
      <w:r w:rsidRPr="00FC7DEA">
        <w:rPr>
          <w:color w:val="000000" w:themeColor="text1"/>
        </w:rPr>
        <w:t>kurang energi kronis (</w:t>
      </w:r>
      <w:r w:rsidRPr="00FC7DEA">
        <w:rPr>
          <w:color w:val="000000" w:themeColor="text1"/>
          <w:lang w:val="id-ID"/>
        </w:rPr>
        <w:t>KEK</w:t>
      </w:r>
      <w:r w:rsidRPr="00FC7DEA">
        <w:rPr>
          <w:color w:val="000000" w:themeColor="text1"/>
        </w:rPr>
        <w:t>)</w:t>
      </w:r>
      <w:r w:rsidRPr="00FC7DEA">
        <w:rPr>
          <w:color w:val="000000" w:themeColor="text1"/>
          <w:lang w:val="id-ID"/>
        </w:rPr>
        <w:t xml:space="preserve"> atau gizi kurang dan berisiko melahirkan bayi dengan </w:t>
      </w:r>
      <w:r w:rsidRPr="00FC7DEA">
        <w:rPr>
          <w:color w:val="000000" w:themeColor="text1"/>
        </w:rPr>
        <w:t>berat lahir rendah (Ferial, 2011).</w:t>
      </w:r>
    </w:p>
    <w:p w:rsidR="004243A1" w:rsidRPr="00FC7DEA" w:rsidRDefault="004243A1" w:rsidP="004243A1">
      <w:pPr>
        <w:pStyle w:val="ListParagraph"/>
        <w:spacing w:line="240" w:lineRule="auto"/>
        <w:ind w:left="0" w:firstLine="567"/>
        <w:jc w:val="both"/>
        <w:rPr>
          <w:rFonts w:ascii="Times New Roman" w:hAnsi="Times New Roman" w:cs="Times New Roman"/>
          <w:color w:val="000000" w:themeColor="text1"/>
          <w:sz w:val="24"/>
          <w:szCs w:val="24"/>
        </w:rPr>
      </w:pPr>
      <w:r w:rsidRPr="00FC7DEA">
        <w:rPr>
          <w:rFonts w:ascii="Times New Roman" w:hAnsi="Times New Roman" w:cs="Times New Roman"/>
          <w:color w:val="000000" w:themeColor="text1"/>
          <w:sz w:val="24"/>
          <w:szCs w:val="24"/>
        </w:rPr>
        <w:t xml:space="preserve">Hasil  penelitian  Purdyastuti (1994) di Rumah  Sakit  Fatmawati  Jakarta  yang  menyimpulkan  ada  hubungan  antara LILA ibu hamil </w:t>
      </w:r>
      <w:r w:rsidRPr="00FC7DEA">
        <w:rPr>
          <w:rFonts w:ascii="Times New Roman" w:hAnsi="Times New Roman" w:cs="Times New Roman"/>
          <w:color w:val="000000" w:themeColor="text1"/>
          <w:sz w:val="24"/>
          <w:szCs w:val="24"/>
        </w:rPr>
        <w:lastRenderedPageBreak/>
        <w:t>dengan berat bayi lahir, demikian juga hasil penelitian Ngare dan Newman (1998) di Kenya  yang mendapatkan kesimpulan bahwa ukuran LILA  ibu  hamil  merupakan  salah  satu  faktor  prediktor  yang  meningkatkan resiko  melahirkan  bayi  dengan  berat  lahir  rendah.  Hasil  tersebut  didukung pula  oleh  penelitian  Budiyanto (2000) di  Madiun  Jawa  Timur  yang  juga menemukan kenyataan bahwa ukuran LILA ibu hamil merupakan faktor risiko yang menyebabkan bayi berat lahir rendah (Mutalazimah, 2005).</w:t>
      </w:r>
    </w:p>
    <w:p w:rsidR="004243A1" w:rsidRPr="00FC7DEA" w:rsidRDefault="004243A1" w:rsidP="004243A1">
      <w:pPr>
        <w:spacing w:line="240" w:lineRule="auto"/>
        <w:ind w:firstLine="567"/>
        <w:rPr>
          <w:color w:val="000000" w:themeColor="text1"/>
        </w:rPr>
      </w:pPr>
      <w:proofErr w:type="gramStart"/>
      <w:r w:rsidRPr="00FC7DEA">
        <w:rPr>
          <w:color w:val="000000" w:themeColor="text1"/>
        </w:rPr>
        <w:t>Berdasarkan data di atas maka penulis tertarik untuk melakukan penelitian mengenai "Hubungan Lingkar Lengan Atas (LILA) Ibu Hamil dengan Berat Badan Lahir Bayi di Rumah Bersalin Cempedak Tahun 2013".</w:t>
      </w:r>
      <w:proofErr w:type="gramEnd"/>
      <w:r w:rsidRPr="00FC7DEA">
        <w:rPr>
          <w:color w:val="000000" w:themeColor="text1"/>
        </w:rPr>
        <w:t xml:space="preserve"> </w:t>
      </w:r>
    </w:p>
    <w:p w:rsidR="004243A1" w:rsidRPr="00FC7DEA" w:rsidRDefault="004243A1" w:rsidP="004243A1">
      <w:pPr>
        <w:spacing w:line="240" w:lineRule="auto"/>
        <w:ind w:firstLine="567"/>
        <w:rPr>
          <w:color w:val="000000" w:themeColor="text1"/>
        </w:rPr>
      </w:pPr>
    </w:p>
    <w:p w:rsidR="004243A1" w:rsidRPr="00FC7DEA" w:rsidRDefault="004243A1" w:rsidP="004243A1">
      <w:pPr>
        <w:tabs>
          <w:tab w:val="left" w:pos="284"/>
        </w:tabs>
        <w:autoSpaceDE w:val="0"/>
        <w:autoSpaceDN w:val="0"/>
        <w:adjustRightInd w:val="0"/>
        <w:spacing w:line="240" w:lineRule="auto"/>
        <w:rPr>
          <w:b/>
          <w:color w:val="000000" w:themeColor="text1"/>
        </w:rPr>
      </w:pPr>
      <w:r w:rsidRPr="00FC7DEA">
        <w:rPr>
          <w:b/>
          <w:color w:val="000000" w:themeColor="text1"/>
        </w:rPr>
        <w:t xml:space="preserve">TUJUAN </w:t>
      </w:r>
    </w:p>
    <w:p w:rsidR="004243A1" w:rsidRPr="00FC7DEA" w:rsidRDefault="004243A1" w:rsidP="004243A1">
      <w:pPr>
        <w:pStyle w:val="ListParagraph"/>
        <w:tabs>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gramStart"/>
      <w:r w:rsidRPr="00FC7DEA">
        <w:rPr>
          <w:rFonts w:ascii="Times New Roman" w:hAnsi="Times New Roman" w:cs="Times New Roman"/>
          <w:color w:val="000000" w:themeColor="text1"/>
          <w:sz w:val="24"/>
          <w:szCs w:val="24"/>
        </w:rPr>
        <w:t>Untuk mengetahui hubungan LILA ibu hamil dengan berat badan lahir bayi di Rumah Bersalin Cempedak tahun 2013.</w:t>
      </w:r>
      <w:proofErr w:type="gramEnd"/>
    </w:p>
    <w:p w:rsidR="004243A1" w:rsidRPr="00FC7DEA" w:rsidRDefault="004243A1" w:rsidP="004243A1">
      <w:pPr>
        <w:pStyle w:val="ListParagraph"/>
        <w:tabs>
          <w:tab w:val="left" w:pos="851"/>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
    <w:p w:rsidR="004243A1" w:rsidRPr="00FC7DEA" w:rsidRDefault="004243A1" w:rsidP="004243A1">
      <w:pPr>
        <w:tabs>
          <w:tab w:val="left" w:pos="851"/>
        </w:tabs>
        <w:autoSpaceDE w:val="0"/>
        <w:autoSpaceDN w:val="0"/>
        <w:adjustRightInd w:val="0"/>
        <w:spacing w:line="240" w:lineRule="auto"/>
        <w:rPr>
          <w:b/>
          <w:color w:val="000000" w:themeColor="text1"/>
        </w:rPr>
      </w:pPr>
      <w:r w:rsidRPr="00FC7DEA">
        <w:rPr>
          <w:b/>
          <w:color w:val="000000" w:themeColor="text1"/>
        </w:rPr>
        <w:t>METODELOGI PENELITIAN</w:t>
      </w:r>
    </w:p>
    <w:p w:rsidR="004243A1" w:rsidRPr="00FC7DEA" w:rsidRDefault="004243A1" w:rsidP="004243A1">
      <w:pPr>
        <w:pStyle w:val="ListParagraph"/>
        <w:tabs>
          <w:tab w:val="left" w:pos="851"/>
        </w:tabs>
        <w:autoSpaceDE w:val="0"/>
        <w:autoSpaceDN w:val="0"/>
        <w:adjustRightInd w:val="0"/>
        <w:spacing w:line="240" w:lineRule="auto"/>
        <w:ind w:left="0" w:firstLine="567"/>
        <w:jc w:val="both"/>
        <w:rPr>
          <w:rFonts w:ascii="Times New Roman" w:hAnsi="Times New Roman" w:cs="Times New Roman"/>
          <w:color w:val="000000" w:themeColor="text1"/>
          <w:sz w:val="24"/>
          <w:szCs w:val="24"/>
        </w:rPr>
      </w:pPr>
      <w:proofErr w:type="gramStart"/>
      <w:r w:rsidRPr="00FC7DEA">
        <w:rPr>
          <w:rFonts w:ascii="Times New Roman" w:hAnsi="Times New Roman" w:cs="Times New Roman"/>
          <w:color w:val="000000" w:themeColor="text1"/>
          <w:sz w:val="24"/>
          <w:szCs w:val="24"/>
        </w:rPr>
        <w:t>Jenis penelitian ini adalah deskriptif analitik, dengan menggunakan data sekunder melalui lembar isian.</w:t>
      </w:r>
      <w:proofErr w:type="gramEnd"/>
      <w:r w:rsidRPr="00FC7DEA">
        <w:rPr>
          <w:rFonts w:ascii="Times New Roman" w:hAnsi="Times New Roman" w:cs="Times New Roman"/>
          <w:color w:val="000000" w:themeColor="text1"/>
          <w:sz w:val="24"/>
          <w:szCs w:val="24"/>
        </w:rPr>
        <w:t xml:space="preserve"> </w:t>
      </w:r>
      <w:proofErr w:type="gramStart"/>
      <w:r w:rsidRPr="00FC7DEA">
        <w:rPr>
          <w:rFonts w:ascii="Times New Roman" w:hAnsi="Times New Roman" w:cs="Times New Roman"/>
          <w:color w:val="000000" w:themeColor="text1"/>
          <w:sz w:val="24"/>
          <w:szCs w:val="24"/>
        </w:rPr>
        <w:t>Populasi adalah semua ibu yang tercatat telah melakukan pemeriksaan kehamilan dan melahirkan di Rumah Bersalin Cempedak tahun 2013, yaitu sebanyak 112 kasus.</w:t>
      </w:r>
      <w:proofErr w:type="gramEnd"/>
      <w:r w:rsidRPr="00FC7DEA">
        <w:rPr>
          <w:rFonts w:ascii="Times New Roman" w:hAnsi="Times New Roman" w:cs="Times New Roman"/>
          <w:color w:val="000000" w:themeColor="text1"/>
          <w:sz w:val="24"/>
          <w:szCs w:val="24"/>
        </w:rPr>
        <w:t xml:space="preserve"> </w:t>
      </w:r>
      <w:proofErr w:type="gramStart"/>
      <w:r w:rsidRPr="00FC7DEA">
        <w:rPr>
          <w:rFonts w:ascii="Times New Roman" w:hAnsi="Times New Roman" w:cs="Times New Roman"/>
          <w:color w:val="000000" w:themeColor="text1"/>
          <w:sz w:val="24"/>
          <w:szCs w:val="24"/>
        </w:rPr>
        <w:t>Semua populasi pada penelitian ini dijadikan sebagai sampel (</w:t>
      </w:r>
      <w:r w:rsidRPr="00FC7DEA">
        <w:rPr>
          <w:rFonts w:ascii="Times New Roman" w:hAnsi="Times New Roman" w:cs="Times New Roman"/>
          <w:i/>
          <w:color w:val="000000" w:themeColor="text1"/>
          <w:sz w:val="24"/>
          <w:szCs w:val="24"/>
        </w:rPr>
        <w:t>total sampling</w:t>
      </w:r>
      <w:r w:rsidRPr="00FC7DEA">
        <w:rPr>
          <w:rFonts w:ascii="Times New Roman" w:hAnsi="Times New Roman" w:cs="Times New Roman"/>
          <w:color w:val="000000" w:themeColor="text1"/>
          <w:sz w:val="24"/>
          <w:szCs w:val="24"/>
        </w:rPr>
        <w:t>).</w:t>
      </w:r>
      <w:proofErr w:type="gramEnd"/>
      <w:r w:rsidRPr="00FC7DEA">
        <w:rPr>
          <w:rFonts w:ascii="Times New Roman" w:hAnsi="Times New Roman" w:cs="Times New Roman"/>
          <w:color w:val="000000" w:themeColor="text1"/>
          <w:sz w:val="24"/>
          <w:szCs w:val="24"/>
        </w:rPr>
        <w:t xml:space="preserve"> </w:t>
      </w:r>
      <w:proofErr w:type="gramStart"/>
      <w:r w:rsidRPr="00FC7DEA">
        <w:rPr>
          <w:rFonts w:ascii="Times New Roman" w:hAnsi="Times New Roman" w:cs="Times New Roman"/>
          <w:color w:val="000000" w:themeColor="text1"/>
          <w:sz w:val="24"/>
          <w:szCs w:val="24"/>
        </w:rPr>
        <w:t>Penelitian ini dilakukan di Rumah Bersalin Cempedak pada bulan Desember 2013 s/d Juni 2014.</w:t>
      </w:r>
      <w:proofErr w:type="gramEnd"/>
    </w:p>
    <w:p w:rsidR="004243A1" w:rsidRPr="00FC7DEA" w:rsidRDefault="004243A1" w:rsidP="004243A1">
      <w:pPr>
        <w:pStyle w:val="ListParagraph"/>
        <w:tabs>
          <w:tab w:val="left" w:pos="851"/>
        </w:tabs>
        <w:autoSpaceDE w:val="0"/>
        <w:autoSpaceDN w:val="0"/>
        <w:adjustRightInd w:val="0"/>
        <w:spacing w:line="240" w:lineRule="auto"/>
        <w:ind w:left="0" w:firstLine="567"/>
        <w:jc w:val="both"/>
        <w:rPr>
          <w:rFonts w:ascii="Times New Roman" w:hAnsi="Times New Roman" w:cs="Times New Roman"/>
          <w:b/>
          <w:bCs/>
          <w:color w:val="000000" w:themeColor="text1"/>
          <w:sz w:val="24"/>
          <w:szCs w:val="24"/>
        </w:rPr>
      </w:pPr>
    </w:p>
    <w:p w:rsidR="004243A1" w:rsidRPr="00FC7DEA" w:rsidRDefault="004243A1" w:rsidP="004243A1">
      <w:pPr>
        <w:pStyle w:val="ListParagraph"/>
        <w:tabs>
          <w:tab w:val="left" w:pos="851"/>
        </w:tabs>
        <w:autoSpaceDE w:val="0"/>
        <w:autoSpaceDN w:val="0"/>
        <w:adjustRightInd w:val="0"/>
        <w:spacing w:line="240" w:lineRule="auto"/>
        <w:ind w:left="0"/>
        <w:jc w:val="both"/>
        <w:rPr>
          <w:rFonts w:ascii="Times New Roman" w:hAnsi="Times New Roman" w:cs="Times New Roman"/>
          <w:color w:val="000000" w:themeColor="text1"/>
          <w:sz w:val="24"/>
          <w:szCs w:val="24"/>
        </w:rPr>
      </w:pPr>
      <w:r w:rsidRPr="00FC7DEA">
        <w:rPr>
          <w:rFonts w:ascii="Times New Roman" w:hAnsi="Times New Roman" w:cs="Times New Roman"/>
          <w:b/>
          <w:bCs/>
          <w:color w:val="000000" w:themeColor="text1"/>
          <w:sz w:val="24"/>
          <w:szCs w:val="24"/>
        </w:rPr>
        <w:lastRenderedPageBreak/>
        <w:t>HASIL PENELITIAN DAN PEMBAHASAN</w:t>
      </w:r>
    </w:p>
    <w:p w:rsidR="004243A1" w:rsidRPr="00FC7DEA" w:rsidRDefault="004243A1" w:rsidP="004243A1">
      <w:pPr>
        <w:pStyle w:val="ListParagraph"/>
        <w:numPr>
          <w:ilvl w:val="0"/>
          <w:numId w:val="1"/>
        </w:numPr>
        <w:spacing w:after="0" w:line="240" w:lineRule="auto"/>
        <w:ind w:left="284" w:hanging="284"/>
        <w:jc w:val="both"/>
        <w:rPr>
          <w:rFonts w:ascii="Times New Roman" w:hAnsi="Times New Roman" w:cs="Times New Roman"/>
          <w:b/>
          <w:color w:val="000000" w:themeColor="text1"/>
          <w:sz w:val="24"/>
          <w:szCs w:val="24"/>
          <w:lang w:val="sv-SE"/>
        </w:rPr>
      </w:pPr>
      <w:r w:rsidRPr="00FC7DEA">
        <w:rPr>
          <w:rFonts w:ascii="Times New Roman" w:hAnsi="Times New Roman" w:cs="Times New Roman"/>
          <w:b/>
          <w:color w:val="000000" w:themeColor="text1"/>
          <w:sz w:val="24"/>
          <w:szCs w:val="24"/>
          <w:lang w:val="sv-SE"/>
        </w:rPr>
        <w:t>Lingkar Lengan Atas (LILA) Ibu Hamil</w:t>
      </w:r>
    </w:p>
    <w:p w:rsidR="004243A1" w:rsidRPr="00FC7DEA" w:rsidRDefault="004243A1" w:rsidP="004243A1">
      <w:pPr>
        <w:spacing w:line="240" w:lineRule="auto"/>
        <w:jc w:val="center"/>
        <w:rPr>
          <w:b/>
          <w:color w:val="000000" w:themeColor="text1"/>
          <w:sz w:val="20"/>
          <w:szCs w:val="20"/>
        </w:rPr>
      </w:pPr>
      <w:r w:rsidRPr="00FC7DEA">
        <w:rPr>
          <w:b/>
          <w:color w:val="000000" w:themeColor="text1"/>
          <w:sz w:val="20"/>
          <w:szCs w:val="20"/>
          <w:lang w:val="sv-SE"/>
        </w:rPr>
        <w:t>Tabel 5</w:t>
      </w:r>
      <w:r w:rsidRPr="00FC7DEA">
        <w:rPr>
          <w:b/>
          <w:color w:val="000000" w:themeColor="text1"/>
          <w:sz w:val="20"/>
          <w:szCs w:val="20"/>
          <w:lang w:val="id-ID"/>
        </w:rPr>
        <w:t>.</w:t>
      </w:r>
      <w:r w:rsidRPr="00FC7DEA">
        <w:rPr>
          <w:b/>
          <w:color w:val="000000" w:themeColor="text1"/>
          <w:sz w:val="20"/>
          <w:szCs w:val="20"/>
        </w:rPr>
        <w:t>1</w:t>
      </w:r>
    </w:p>
    <w:p w:rsidR="004243A1" w:rsidRPr="00FC7DEA" w:rsidRDefault="004243A1" w:rsidP="004243A1">
      <w:pPr>
        <w:spacing w:line="240" w:lineRule="auto"/>
        <w:jc w:val="center"/>
        <w:rPr>
          <w:b/>
          <w:color w:val="000000" w:themeColor="text1"/>
          <w:sz w:val="20"/>
          <w:szCs w:val="20"/>
          <w:lang w:val="sv-SE"/>
        </w:rPr>
      </w:pPr>
      <w:r w:rsidRPr="00FC7DEA">
        <w:rPr>
          <w:b/>
          <w:color w:val="000000" w:themeColor="text1"/>
          <w:sz w:val="20"/>
          <w:szCs w:val="20"/>
          <w:lang w:val="sv-SE"/>
        </w:rPr>
        <w:t xml:space="preserve">Distribusi LILA Ibu Hamil </w:t>
      </w:r>
      <w:r w:rsidRPr="00FC7DEA">
        <w:rPr>
          <w:b/>
          <w:color w:val="000000" w:themeColor="text1"/>
          <w:sz w:val="20"/>
          <w:szCs w:val="20"/>
        </w:rPr>
        <w:t>di Rumah Bersalin Cempedak Tahun  2013</w:t>
      </w:r>
    </w:p>
    <w:tbl>
      <w:tblPr>
        <w:tblW w:w="3790" w:type="dxa"/>
        <w:jc w:val="center"/>
        <w:tblLook w:val="04A0" w:firstRow="1" w:lastRow="0" w:firstColumn="1" w:lastColumn="0" w:noHBand="0" w:noVBand="1"/>
      </w:tblPr>
      <w:tblGrid>
        <w:gridCol w:w="2689"/>
        <w:gridCol w:w="570"/>
        <w:gridCol w:w="531"/>
      </w:tblGrid>
      <w:tr w:rsidR="004243A1" w:rsidRPr="00FC7DEA" w:rsidTr="00597A12">
        <w:trPr>
          <w:trHeight w:val="438"/>
          <w:jc w:val="center"/>
        </w:trPr>
        <w:tc>
          <w:tcPr>
            <w:tcW w:w="2689"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6"/>
                <w:szCs w:val="16"/>
              </w:rPr>
            </w:pPr>
            <w:r w:rsidRPr="00FC7DEA">
              <w:rPr>
                <w:rFonts w:eastAsia="Times New Roman"/>
                <w:b/>
                <w:bCs/>
                <w:color w:val="000000" w:themeColor="text1"/>
                <w:sz w:val="16"/>
                <w:szCs w:val="16"/>
              </w:rPr>
              <w:t>Status Gizi</w:t>
            </w:r>
          </w:p>
        </w:tc>
        <w:tc>
          <w:tcPr>
            <w:tcW w:w="570"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6"/>
                <w:szCs w:val="16"/>
              </w:rPr>
            </w:pPr>
            <w:r w:rsidRPr="00FC7DEA">
              <w:rPr>
                <w:rFonts w:eastAsia="Times New Roman"/>
                <w:b/>
                <w:bCs/>
                <w:color w:val="000000" w:themeColor="text1"/>
                <w:sz w:val="16"/>
                <w:szCs w:val="16"/>
              </w:rPr>
              <w:t>(n)</w:t>
            </w:r>
          </w:p>
        </w:tc>
        <w:tc>
          <w:tcPr>
            <w:tcW w:w="531"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6"/>
                <w:szCs w:val="16"/>
              </w:rPr>
            </w:pPr>
            <w:r w:rsidRPr="00FC7DEA">
              <w:rPr>
                <w:rFonts w:eastAsia="Times New Roman"/>
                <w:b/>
                <w:bCs/>
                <w:color w:val="000000" w:themeColor="text1"/>
                <w:sz w:val="16"/>
                <w:szCs w:val="16"/>
              </w:rPr>
              <w:t>(%)</w:t>
            </w:r>
          </w:p>
        </w:tc>
      </w:tr>
      <w:tr w:rsidR="004243A1" w:rsidRPr="00FC7DEA" w:rsidTr="00597A12">
        <w:trPr>
          <w:trHeight w:val="438"/>
          <w:jc w:val="center"/>
        </w:trPr>
        <w:tc>
          <w:tcPr>
            <w:tcW w:w="2689"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6"/>
                <w:szCs w:val="16"/>
              </w:rPr>
            </w:pPr>
            <w:r w:rsidRPr="00FC7DEA">
              <w:rPr>
                <w:rFonts w:eastAsia="Times New Roman"/>
                <w:color w:val="000000" w:themeColor="text1"/>
                <w:sz w:val="16"/>
                <w:szCs w:val="16"/>
              </w:rPr>
              <w:t>Normal (LILA ≥ 23,5 cm)</w:t>
            </w:r>
          </w:p>
        </w:tc>
        <w:tc>
          <w:tcPr>
            <w:tcW w:w="570"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ind w:right="54"/>
              <w:rPr>
                <w:rFonts w:eastAsia="Times New Roman"/>
                <w:color w:val="000000" w:themeColor="text1"/>
                <w:sz w:val="16"/>
                <w:szCs w:val="16"/>
              </w:rPr>
            </w:pPr>
            <w:r w:rsidRPr="00FC7DEA">
              <w:rPr>
                <w:rFonts w:eastAsia="Times New Roman"/>
                <w:color w:val="000000" w:themeColor="text1"/>
                <w:sz w:val="16"/>
                <w:szCs w:val="16"/>
              </w:rPr>
              <w:t>111</w:t>
            </w:r>
          </w:p>
        </w:tc>
        <w:tc>
          <w:tcPr>
            <w:tcW w:w="531"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6"/>
                <w:szCs w:val="16"/>
              </w:rPr>
            </w:pPr>
            <w:r w:rsidRPr="00FC7DEA">
              <w:rPr>
                <w:rFonts w:eastAsia="Times New Roman"/>
                <w:color w:val="000000" w:themeColor="text1"/>
                <w:sz w:val="16"/>
                <w:szCs w:val="16"/>
              </w:rPr>
              <w:t>99.1</w:t>
            </w:r>
          </w:p>
        </w:tc>
      </w:tr>
      <w:tr w:rsidR="004243A1" w:rsidRPr="00FC7DEA" w:rsidTr="00597A12">
        <w:trPr>
          <w:trHeight w:val="438"/>
          <w:jc w:val="center"/>
        </w:trPr>
        <w:tc>
          <w:tcPr>
            <w:tcW w:w="2689"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6"/>
                <w:szCs w:val="16"/>
              </w:rPr>
            </w:pPr>
            <w:r w:rsidRPr="00FC7DEA">
              <w:rPr>
                <w:rFonts w:eastAsia="Times New Roman"/>
                <w:color w:val="000000" w:themeColor="text1"/>
                <w:sz w:val="16"/>
                <w:szCs w:val="16"/>
              </w:rPr>
              <w:t>Tidak Normal (LILA &lt; 23,5 cm)</w:t>
            </w:r>
          </w:p>
        </w:tc>
        <w:tc>
          <w:tcPr>
            <w:tcW w:w="570"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ind w:right="54"/>
              <w:rPr>
                <w:rFonts w:eastAsia="Times New Roman"/>
                <w:color w:val="000000" w:themeColor="text1"/>
                <w:sz w:val="16"/>
                <w:szCs w:val="16"/>
              </w:rPr>
            </w:pPr>
            <w:r w:rsidRPr="00FC7DEA">
              <w:rPr>
                <w:rFonts w:eastAsia="Times New Roman"/>
                <w:color w:val="000000" w:themeColor="text1"/>
                <w:sz w:val="16"/>
                <w:szCs w:val="16"/>
              </w:rPr>
              <w:t>1</w:t>
            </w:r>
          </w:p>
        </w:tc>
        <w:tc>
          <w:tcPr>
            <w:tcW w:w="531"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6"/>
                <w:szCs w:val="16"/>
              </w:rPr>
            </w:pPr>
            <w:r w:rsidRPr="00FC7DEA">
              <w:rPr>
                <w:rFonts w:eastAsia="Times New Roman"/>
                <w:color w:val="000000" w:themeColor="text1"/>
                <w:sz w:val="16"/>
                <w:szCs w:val="16"/>
              </w:rPr>
              <w:t>0.9</w:t>
            </w:r>
          </w:p>
        </w:tc>
      </w:tr>
      <w:tr w:rsidR="004243A1" w:rsidRPr="00FC7DEA" w:rsidTr="00597A12">
        <w:trPr>
          <w:trHeight w:val="438"/>
          <w:jc w:val="center"/>
        </w:trPr>
        <w:tc>
          <w:tcPr>
            <w:tcW w:w="2689"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6"/>
                <w:szCs w:val="16"/>
              </w:rPr>
            </w:pPr>
            <w:r w:rsidRPr="00FC7DEA">
              <w:rPr>
                <w:rFonts w:eastAsia="Times New Roman"/>
                <w:b/>
                <w:bCs/>
                <w:color w:val="000000" w:themeColor="text1"/>
                <w:sz w:val="16"/>
                <w:szCs w:val="16"/>
              </w:rPr>
              <w:t>Total</w:t>
            </w:r>
          </w:p>
        </w:tc>
        <w:tc>
          <w:tcPr>
            <w:tcW w:w="570"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ind w:right="54"/>
              <w:rPr>
                <w:rFonts w:eastAsia="Times New Roman"/>
                <w:b/>
                <w:bCs/>
                <w:color w:val="000000" w:themeColor="text1"/>
                <w:sz w:val="16"/>
                <w:szCs w:val="16"/>
              </w:rPr>
            </w:pPr>
            <w:r w:rsidRPr="00FC7DEA">
              <w:rPr>
                <w:rFonts w:eastAsia="Times New Roman"/>
                <w:b/>
                <w:bCs/>
                <w:color w:val="000000" w:themeColor="text1"/>
                <w:sz w:val="16"/>
                <w:szCs w:val="16"/>
              </w:rPr>
              <w:t>112</w:t>
            </w:r>
          </w:p>
        </w:tc>
        <w:tc>
          <w:tcPr>
            <w:tcW w:w="531"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6"/>
                <w:szCs w:val="16"/>
              </w:rPr>
            </w:pPr>
            <w:r w:rsidRPr="00FC7DEA">
              <w:rPr>
                <w:rFonts w:eastAsia="Times New Roman"/>
                <w:b/>
                <w:bCs/>
                <w:color w:val="000000" w:themeColor="text1"/>
                <w:sz w:val="16"/>
                <w:szCs w:val="16"/>
              </w:rPr>
              <w:t>100</w:t>
            </w:r>
          </w:p>
        </w:tc>
      </w:tr>
    </w:tbl>
    <w:p w:rsidR="004243A1" w:rsidRPr="00FC7DEA" w:rsidRDefault="004243A1" w:rsidP="004243A1">
      <w:pPr>
        <w:spacing w:line="240" w:lineRule="auto"/>
        <w:ind w:firstLine="567"/>
        <w:rPr>
          <w:color w:val="000000" w:themeColor="text1"/>
          <w:lang w:val="sv-SE"/>
        </w:rPr>
      </w:pPr>
      <w:r w:rsidRPr="00FC7DEA">
        <w:rPr>
          <w:color w:val="000000" w:themeColor="text1"/>
          <w:lang w:val="sv-SE"/>
        </w:rPr>
        <w:t>Berdasarkan tabel 5.1 dapat diketahui bahwa dari 112 ibu hamil  didapatkan hasil sebagian besar memiliki ukuran LILA yang normal yaitu sebanyak 111 ibu hamil (99,1%).</w:t>
      </w:r>
    </w:p>
    <w:p w:rsidR="004243A1" w:rsidRPr="00FC7DEA" w:rsidRDefault="004243A1" w:rsidP="004243A1">
      <w:pPr>
        <w:spacing w:line="240" w:lineRule="auto"/>
        <w:ind w:firstLine="567"/>
        <w:rPr>
          <w:color w:val="000000" w:themeColor="text1"/>
          <w:lang w:val="sv-SE"/>
        </w:rPr>
      </w:pPr>
    </w:p>
    <w:p w:rsidR="004243A1" w:rsidRPr="00FC7DEA" w:rsidRDefault="004243A1" w:rsidP="004243A1">
      <w:pPr>
        <w:spacing w:line="240" w:lineRule="auto"/>
        <w:ind w:firstLine="567"/>
        <w:rPr>
          <w:color w:val="000000" w:themeColor="text1"/>
          <w:lang w:val="sv-SE"/>
        </w:rPr>
      </w:pPr>
      <w:r w:rsidRPr="00FC7DEA">
        <w:rPr>
          <w:color w:val="000000" w:themeColor="text1"/>
          <w:lang w:val="sv-SE"/>
        </w:rPr>
        <w:t>Ukuran LILA kurang dari 23,5 cm menunjukkan bahwa ibu tersebut menderita gizi kurang. Kondisi ini menggambarkan tidak terpenuhinya  kebutuhan energi, sedangkankehamilan memerlukan tambahan energi dan zat lain karena meningkatnya metabolisme energi.</w:t>
      </w:r>
    </w:p>
    <w:p w:rsidR="004243A1" w:rsidRPr="00FC7DEA" w:rsidRDefault="004243A1" w:rsidP="004243A1">
      <w:pPr>
        <w:spacing w:line="240" w:lineRule="auto"/>
        <w:ind w:firstLine="567"/>
        <w:rPr>
          <w:color w:val="000000" w:themeColor="text1"/>
          <w:lang w:val="sv-SE"/>
        </w:rPr>
      </w:pPr>
      <w:r w:rsidRPr="00FC7DEA">
        <w:rPr>
          <w:color w:val="000000" w:themeColor="text1"/>
          <w:lang w:val="sv-SE"/>
        </w:rPr>
        <w:t>Kekurangan energi secara kronis ini  menyebabkan ibu  hamil tidak mempunyai cadangan zat gizi yang adekuat untuk menyediakan kebutuhan fisiologi kehamilan yakni perubahan hormon dan peningkatan volume darah untuk pertumbuhan janin, sehingga suplai zat gizi pada janinpun berkurang, akibatnya pertumbuhan dan perkembangan janin terhambat dan lahir dengan berat  yang  rendah (Trihardiani, 2011).</w:t>
      </w:r>
    </w:p>
    <w:p w:rsidR="004243A1" w:rsidRPr="00FC7DEA" w:rsidRDefault="004243A1" w:rsidP="004243A1">
      <w:pPr>
        <w:spacing w:line="240" w:lineRule="auto"/>
        <w:ind w:firstLine="567"/>
        <w:rPr>
          <w:color w:val="000000" w:themeColor="text1"/>
          <w:lang w:val="sv-SE"/>
        </w:rPr>
      </w:pPr>
      <w:r w:rsidRPr="00FC7DEA">
        <w:rPr>
          <w:color w:val="000000" w:themeColor="text1"/>
          <w:lang w:val="sv-SE"/>
        </w:rPr>
        <w:t xml:space="preserve">Berdasarkan hasil penelitian dan teori yang ada maka dapat dijelaskan, bahwa hampir seluruh ibu hamil di Rumah Bersalin Cempedak tahun 2013 memiliki status gizi baik yang ditandai dengan ukuran LILA ibu hamil &gt; 23,5 cm. Jika keadaan </w:t>
      </w:r>
      <w:r w:rsidRPr="00FC7DEA">
        <w:rPr>
          <w:color w:val="000000" w:themeColor="text1"/>
          <w:lang w:val="sv-SE"/>
        </w:rPr>
        <w:lastRenderedPageBreak/>
        <w:t>kesehatan dan status gizi ibu hamil baik, maka janin yang dikandungnya akan baik juga. Sebaliknya jika keadaan kesehatan dan status gizi ibu hamil kurang baik, kemungkinan akan berakibat bayi lahir dengan berat badan kurang dari normal.</w:t>
      </w:r>
    </w:p>
    <w:p w:rsidR="004243A1" w:rsidRPr="00FC7DEA" w:rsidRDefault="004243A1" w:rsidP="004243A1">
      <w:pPr>
        <w:spacing w:line="240" w:lineRule="auto"/>
        <w:ind w:firstLine="567"/>
        <w:rPr>
          <w:color w:val="000000" w:themeColor="text1"/>
          <w:lang w:val="sv-SE"/>
        </w:rPr>
      </w:pPr>
    </w:p>
    <w:p w:rsidR="004243A1" w:rsidRPr="00FC7DEA" w:rsidRDefault="004243A1" w:rsidP="004243A1">
      <w:pPr>
        <w:pStyle w:val="ListParagraph"/>
        <w:numPr>
          <w:ilvl w:val="0"/>
          <w:numId w:val="1"/>
        </w:numPr>
        <w:tabs>
          <w:tab w:val="left" w:pos="-426"/>
        </w:tabs>
        <w:spacing w:after="0" w:line="240" w:lineRule="auto"/>
        <w:ind w:left="284" w:hanging="284"/>
        <w:jc w:val="both"/>
        <w:rPr>
          <w:rFonts w:ascii="Times New Roman" w:hAnsi="Times New Roman" w:cs="Times New Roman"/>
          <w:b/>
          <w:color w:val="000000" w:themeColor="text1"/>
          <w:sz w:val="24"/>
          <w:szCs w:val="24"/>
          <w:lang w:val="sv-SE"/>
        </w:rPr>
      </w:pPr>
      <w:r w:rsidRPr="00FC7DEA">
        <w:rPr>
          <w:rFonts w:ascii="Times New Roman" w:hAnsi="Times New Roman" w:cs="Times New Roman"/>
          <w:b/>
          <w:color w:val="000000" w:themeColor="text1"/>
          <w:sz w:val="24"/>
          <w:szCs w:val="24"/>
          <w:lang w:val="sv-SE"/>
        </w:rPr>
        <w:t xml:space="preserve">Berat Badan Lahir Bayi </w:t>
      </w:r>
    </w:p>
    <w:p w:rsidR="004243A1" w:rsidRPr="00FC7DEA" w:rsidRDefault="004243A1" w:rsidP="004243A1">
      <w:pPr>
        <w:pStyle w:val="ListParagraph"/>
        <w:tabs>
          <w:tab w:val="left" w:pos="0"/>
        </w:tabs>
        <w:spacing w:line="240" w:lineRule="auto"/>
        <w:ind w:left="0"/>
        <w:jc w:val="center"/>
        <w:rPr>
          <w:rFonts w:ascii="Times New Roman" w:hAnsi="Times New Roman" w:cs="Times New Roman"/>
          <w:b/>
          <w:color w:val="000000" w:themeColor="text1"/>
          <w:sz w:val="20"/>
          <w:szCs w:val="20"/>
          <w:lang w:val="sv-SE"/>
        </w:rPr>
      </w:pPr>
      <w:r w:rsidRPr="00FC7DEA">
        <w:rPr>
          <w:rFonts w:ascii="Times New Roman" w:hAnsi="Times New Roman" w:cs="Times New Roman"/>
          <w:b/>
          <w:color w:val="000000" w:themeColor="text1"/>
          <w:sz w:val="20"/>
          <w:szCs w:val="20"/>
          <w:lang w:val="sv-SE"/>
        </w:rPr>
        <w:t>Tabel 5.2</w:t>
      </w:r>
    </w:p>
    <w:p w:rsidR="004243A1" w:rsidRPr="00FC7DEA" w:rsidRDefault="004243A1" w:rsidP="004243A1">
      <w:pPr>
        <w:pStyle w:val="ListParagraph"/>
        <w:tabs>
          <w:tab w:val="left" w:pos="0"/>
          <w:tab w:val="left" w:pos="3686"/>
        </w:tabs>
        <w:spacing w:line="240" w:lineRule="auto"/>
        <w:ind w:left="0"/>
        <w:jc w:val="center"/>
        <w:rPr>
          <w:rFonts w:ascii="Times New Roman" w:hAnsi="Times New Roman" w:cs="Times New Roman"/>
          <w:b/>
          <w:color w:val="000000" w:themeColor="text1"/>
          <w:sz w:val="20"/>
          <w:szCs w:val="20"/>
          <w:lang w:val="sv-SE"/>
        </w:rPr>
      </w:pPr>
      <w:r w:rsidRPr="00FC7DEA">
        <w:rPr>
          <w:rFonts w:ascii="Times New Roman" w:hAnsi="Times New Roman" w:cs="Times New Roman"/>
          <w:b/>
          <w:color w:val="000000" w:themeColor="text1"/>
          <w:sz w:val="20"/>
          <w:szCs w:val="20"/>
          <w:lang w:val="sv-SE"/>
        </w:rPr>
        <w:t>Distribusi Berat Badan Lahir Bayi di Rumah Bersalin Cempedak Tahun 2013</w:t>
      </w:r>
    </w:p>
    <w:tbl>
      <w:tblPr>
        <w:tblW w:w="3828" w:type="dxa"/>
        <w:tblInd w:w="108" w:type="dxa"/>
        <w:tblLook w:val="04A0" w:firstRow="1" w:lastRow="0" w:firstColumn="1" w:lastColumn="0" w:noHBand="0" w:noVBand="1"/>
      </w:tblPr>
      <w:tblGrid>
        <w:gridCol w:w="2492"/>
        <w:gridCol w:w="486"/>
        <w:gridCol w:w="850"/>
      </w:tblGrid>
      <w:tr w:rsidR="004243A1" w:rsidRPr="00FC7DEA" w:rsidTr="00597A12">
        <w:trPr>
          <w:trHeight w:val="419"/>
        </w:trPr>
        <w:tc>
          <w:tcPr>
            <w:tcW w:w="2492"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Berat Badan Lahir Bayi</w:t>
            </w:r>
          </w:p>
        </w:tc>
        <w:tc>
          <w:tcPr>
            <w:tcW w:w="486"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w:t>
            </w:r>
          </w:p>
        </w:tc>
        <w:tc>
          <w:tcPr>
            <w:tcW w:w="850" w:type="dxa"/>
            <w:tcBorders>
              <w:top w:val="single" w:sz="4" w:space="0" w:color="auto"/>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w:t>
            </w:r>
          </w:p>
        </w:tc>
      </w:tr>
      <w:tr w:rsidR="004243A1" w:rsidRPr="00FC7DEA" w:rsidTr="00597A12">
        <w:trPr>
          <w:trHeight w:val="419"/>
        </w:trPr>
        <w:tc>
          <w:tcPr>
            <w:tcW w:w="2492"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Normal (≥ 2500 - 4000 gram)</w:t>
            </w:r>
          </w:p>
        </w:tc>
        <w:tc>
          <w:tcPr>
            <w:tcW w:w="486"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107</w:t>
            </w:r>
          </w:p>
        </w:tc>
        <w:tc>
          <w:tcPr>
            <w:tcW w:w="850"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tabs>
                <w:tab w:val="left" w:pos="588"/>
              </w:tabs>
              <w:spacing w:line="240" w:lineRule="auto"/>
              <w:ind w:right="43"/>
              <w:rPr>
                <w:rFonts w:eastAsia="Times New Roman"/>
                <w:color w:val="000000" w:themeColor="text1"/>
                <w:sz w:val="18"/>
                <w:szCs w:val="18"/>
              </w:rPr>
            </w:pPr>
            <w:r w:rsidRPr="00FC7DEA">
              <w:rPr>
                <w:rFonts w:eastAsia="Times New Roman"/>
                <w:color w:val="000000" w:themeColor="text1"/>
                <w:sz w:val="18"/>
                <w:szCs w:val="18"/>
              </w:rPr>
              <w:t>95.5</w:t>
            </w:r>
          </w:p>
        </w:tc>
      </w:tr>
      <w:tr w:rsidR="004243A1" w:rsidRPr="00FC7DEA" w:rsidTr="00597A12">
        <w:trPr>
          <w:trHeight w:val="419"/>
        </w:trPr>
        <w:tc>
          <w:tcPr>
            <w:tcW w:w="2492"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Tidak Normal (&lt; 2500 atau &gt; 4000 gram)</w:t>
            </w:r>
          </w:p>
        </w:tc>
        <w:tc>
          <w:tcPr>
            <w:tcW w:w="486"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5</w:t>
            </w:r>
          </w:p>
        </w:tc>
        <w:tc>
          <w:tcPr>
            <w:tcW w:w="850" w:type="dxa"/>
            <w:tcBorders>
              <w:top w:val="nil"/>
              <w:left w:val="nil"/>
              <w:bottom w:val="single" w:sz="4" w:space="0" w:color="auto"/>
              <w:right w:val="nil"/>
            </w:tcBorders>
            <w:shd w:val="clear" w:color="auto" w:fill="auto"/>
            <w:noWrap/>
            <w:vAlign w:val="center"/>
            <w:hideMark/>
          </w:tcPr>
          <w:p w:rsidR="004243A1" w:rsidRPr="00FC7DEA" w:rsidRDefault="004243A1" w:rsidP="00597A12">
            <w:pPr>
              <w:tabs>
                <w:tab w:val="left" w:pos="588"/>
              </w:tabs>
              <w:spacing w:line="240" w:lineRule="auto"/>
              <w:ind w:right="43"/>
              <w:rPr>
                <w:rFonts w:eastAsia="Times New Roman"/>
                <w:color w:val="000000" w:themeColor="text1"/>
                <w:sz w:val="18"/>
                <w:szCs w:val="18"/>
              </w:rPr>
            </w:pPr>
            <w:r w:rsidRPr="00FC7DEA">
              <w:rPr>
                <w:rFonts w:eastAsia="Times New Roman"/>
                <w:color w:val="000000" w:themeColor="text1"/>
                <w:sz w:val="18"/>
                <w:szCs w:val="18"/>
              </w:rPr>
              <w:t>4.5</w:t>
            </w:r>
          </w:p>
        </w:tc>
      </w:tr>
      <w:tr w:rsidR="004243A1" w:rsidRPr="00FC7DEA" w:rsidTr="00597A12">
        <w:trPr>
          <w:trHeight w:val="419"/>
        </w:trPr>
        <w:tc>
          <w:tcPr>
            <w:tcW w:w="2492"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Total</w:t>
            </w:r>
          </w:p>
        </w:tc>
        <w:tc>
          <w:tcPr>
            <w:tcW w:w="486"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112</w:t>
            </w:r>
          </w:p>
        </w:tc>
        <w:tc>
          <w:tcPr>
            <w:tcW w:w="850" w:type="dxa"/>
            <w:tcBorders>
              <w:top w:val="nil"/>
              <w:left w:val="nil"/>
              <w:bottom w:val="single" w:sz="4" w:space="0" w:color="auto"/>
              <w:right w:val="nil"/>
            </w:tcBorders>
            <w:shd w:val="clear" w:color="auto" w:fill="auto"/>
            <w:noWrap/>
            <w:vAlign w:val="center"/>
            <w:hideMark/>
          </w:tcPr>
          <w:p w:rsidR="004243A1" w:rsidRPr="00FC7DEA" w:rsidRDefault="004243A1" w:rsidP="00597A12">
            <w:pPr>
              <w:tabs>
                <w:tab w:val="left" w:pos="588"/>
              </w:tabs>
              <w:spacing w:line="240" w:lineRule="auto"/>
              <w:ind w:right="43"/>
              <w:rPr>
                <w:rFonts w:eastAsia="Times New Roman"/>
                <w:b/>
                <w:bCs/>
                <w:color w:val="000000" w:themeColor="text1"/>
                <w:sz w:val="18"/>
                <w:szCs w:val="18"/>
              </w:rPr>
            </w:pPr>
            <w:r w:rsidRPr="00FC7DEA">
              <w:rPr>
                <w:rFonts w:eastAsia="Times New Roman"/>
                <w:b/>
                <w:bCs/>
                <w:color w:val="000000" w:themeColor="text1"/>
                <w:sz w:val="18"/>
                <w:szCs w:val="18"/>
              </w:rPr>
              <w:t>100.0</w:t>
            </w:r>
          </w:p>
        </w:tc>
      </w:tr>
    </w:tbl>
    <w:p w:rsidR="004243A1" w:rsidRPr="00FC7DEA" w:rsidRDefault="004243A1" w:rsidP="004243A1">
      <w:pPr>
        <w:tabs>
          <w:tab w:val="left" w:pos="142"/>
          <w:tab w:val="left" w:pos="2520"/>
        </w:tabs>
        <w:spacing w:line="240" w:lineRule="auto"/>
        <w:ind w:left="142"/>
        <w:rPr>
          <w:color w:val="000000" w:themeColor="text1"/>
          <w:lang w:val="sv-SE"/>
        </w:rPr>
      </w:pPr>
    </w:p>
    <w:p w:rsidR="004243A1" w:rsidRPr="00FC7DEA" w:rsidRDefault="004243A1" w:rsidP="004243A1">
      <w:pPr>
        <w:tabs>
          <w:tab w:val="left" w:pos="0"/>
          <w:tab w:val="left" w:pos="567"/>
        </w:tabs>
        <w:spacing w:line="240" w:lineRule="auto"/>
        <w:rPr>
          <w:color w:val="000000" w:themeColor="text1"/>
          <w:lang w:val="sv-SE"/>
        </w:rPr>
      </w:pPr>
      <w:r w:rsidRPr="00FC7DEA">
        <w:rPr>
          <w:color w:val="000000" w:themeColor="text1"/>
          <w:lang w:val="sv-SE"/>
        </w:rPr>
        <w:tab/>
        <w:t xml:space="preserve">Berdasarkan tabel 5.2 dapat diketahui bahwa dari 112 bayi yang lahir, sebagian besar memiliki berat badan lahir yang normal (≥ 2500 - 4000 gram) yaitu sebanyak 107 bayi (95,5%). </w:t>
      </w:r>
    </w:p>
    <w:p w:rsidR="004243A1" w:rsidRPr="00FC7DEA" w:rsidRDefault="004243A1" w:rsidP="004243A1">
      <w:pPr>
        <w:spacing w:line="240" w:lineRule="auto"/>
        <w:ind w:firstLine="567"/>
        <w:rPr>
          <w:color w:val="000000" w:themeColor="text1"/>
          <w:lang w:val="sv-SE"/>
        </w:rPr>
      </w:pPr>
      <w:r w:rsidRPr="00FC7DEA">
        <w:rPr>
          <w:color w:val="000000" w:themeColor="text1"/>
          <w:lang w:val="sv-SE"/>
        </w:rPr>
        <w:t>Ma’rifah (2010) mengatakan, berat badan lahir bayi dipengaruhi oleh berbagai faktor sehingga akan didapatkan hasil yang berbeda pada setiap bayi yang lahir. Faktor-faktor yang dapat mempengaruhi berat bayi lahir  adalah  faktor  lingkungan internal dan faktor lingkungan eksternal. Faktor lingkungan internal  yaitu meliputi umur ibu, jarak kelahiran, paritas, kadar hemoglobin (Hb), status gizi ibu hamil, pemeriksaan  kehamilan dan penyakit pada saat  kehamilan. Faktor lingkungan eksternal yaitu meliputi kondisi lingkungan, asupan  zat gizi  dan tingkat sosial ekonomi ibu hamil.</w:t>
      </w:r>
    </w:p>
    <w:p w:rsidR="004243A1" w:rsidRPr="00FC7DEA" w:rsidRDefault="004243A1" w:rsidP="004243A1">
      <w:pPr>
        <w:tabs>
          <w:tab w:val="left" w:pos="0"/>
          <w:tab w:val="left" w:pos="567"/>
        </w:tabs>
        <w:spacing w:line="240" w:lineRule="auto"/>
        <w:rPr>
          <w:color w:val="000000" w:themeColor="text1"/>
        </w:rPr>
      </w:pPr>
      <w:r w:rsidRPr="00FC7DEA">
        <w:rPr>
          <w:color w:val="000000" w:themeColor="text1"/>
          <w:lang w:val="sv-SE"/>
        </w:rPr>
        <w:t xml:space="preserve">Berdasarkan hasil penelitian dan teori yang ada maka dapat dijelaskan, bahwa sebagian besar bayi yang lahir di Rumah Bersalin Cempedak tahun 2013 memiliki </w:t>
      </w:r>
      <w:r w:rsidRPr="00FC7DEA">
        <w:rPr>
          <w:color w:val="000000" w:themeColor="text1"/>
          <w:lang w:val="sv-SE"/>
        </w:rPr>
        <w:lastRenderedPageBreak/>
        <w:t>berat lahir yang normal. Berat badan lahir bayi yang normal ini dipengaruhi oleh asupan nutrisi ibu saat hamil yang cukup untuk janin dan pola hidup ibu seperti cukup olahraga, istirahat, serta tidak mengkonsumsi alkohol dan tidak merokok.</w:t>
      </w:r>
    </w:p>
    <w:p w:rsidR="004243A1" w:rsidRPr="00FC7DEA" w:rsidRDefault="004243A1" w:rsidP="004243A1">
      <w:pPr>
        <w:numPr>
          <w:ilvl w:val="0"/>
          <w:numId w:val="1"/>
        </w:numPr>
        <w:spacing w:line="240" w:lineRule="auto"/>
        <w:ind w:left="284" w:hanging="284"/>
        <w:rPr>
          <w:b/>
          <w:color w:val="000000" w:themeColor="text1"/>
        </w:rPr>
      </w:pPr>
      <w:r w:rsidRPr="00FC7DEA">
        <w:rPr>
          <w:b/>
          <w:color w:val="000000" w:themeColor="text1"/>
        </w:rPr>
        <w:t>Hubungan LILA Ibu Hamil dengan  Berat Badan Lahir Bayi</w:t>
      </w:r>
    </w:p>
    <w:p w:rsidR="004243A1" w:rsidRPr="00FC7DEA" w:rsidRDefault="004243A1" w:rsidP="004243A1">
      <w:pPr>
        <w:spacing w:line="240" w:lineRule="auto"/>
        <w:ind w:left="284"/>
        <w:rPr>
          <w:b/>
          <w:color w:val="000000" w:themeColor="text1"/>
        </w:rPr>
      </w:pPr>
    </w:p>
    <w:p w:rsidR="004243A1" w:rsidRPr="00FC7DEA" w:rsidRDefault="004243A1" w:rsidP="004243A1">
      <w:pPr>
        <w:spacing w:line="240" w:lineRule="auto"/>
        <w:jc w:val="center"/>
        <w:rPr>
          <w:b/>
          <w:color w:val="000000" w:themeColor="text1"/>
          <w:sz w:val="20"/>
          <w:szCs w:val="20"/>
        </w:rPr>
      </w:pPr>
      <w:r w:rsidRPr="00FC7DEA">
        <w:rPr>
          <w:b/>
          <w:color w:val="000000" w:themeColor="text1"/>
          <w:sz w:val="20"/>
          <w:szCs w:val="20"/>
        </w:rPr>
        <w:t>Tabel 5.3</w:t>
      </w:r>
    </w:p>
    <w:p w:rsidR="004243A1" w:rsidRPr="00FC7DEA" w:rsidRDefault="004243A1" w:rsidP="004243A1">
      <w:pPr>
        <w:spacing w:line="240" w:lineRule="auto"/>
        <w:jc w:val="center"/>
        <w:rPr>
          <w:b/>
          <w:color w:val="000000" w:themeColor="text1"/>
          <w:sz w:val="20"/>
          <w:szCs w:val="20"/>
          <w:lang w:val="id-ID"/>
        </w:rPr>
      </w:pPr>
      <w:r w:rsidRPr="00FC7DEA">
        <w:rPr>
          <w:b/>
          <w:color w:val="000000" w:themeColor="text1"/>
          <w:sz w:val="20"/>
          <w:szCs w:val="20"/>
        </w:rPr>
        <w:t>Hubun</w:t>
      </w:r>
      <w:r w:rsidRPr="00FC7DEA">
        <w:rPr>
          <w:b/>
          <w:color w:val="000000" w:themeColor="text1"/>
          <w:sz w:val="20"/>
          <w:szCs w:val="20"/>
          <w:lang w:val="sv-SE"/>
        </w:rPr>
        <w:t>gan LILA Ibu Hamil dengan Berat Badan Lahir Bayi di Rumah Bersalin Cempedak Tahun 2013</w:t>
      </w:r>
    </w:p>
    <w:tbl>
      <w:tblPr>
        <w:tblW w:w="4274" w:type="dxa"/>
        <w:jc w:val="center"/>
        <w:tblLook w:val="04A0" w:firstRow="1" w:lastRow="0" w:firstColumn="1" w:lastColumn="0" w:noHBand="0" w:noVBand="1"/>
      </w:tblPr>
      <w:tblGrid>
        <w:gridCol w:w="806"/>
        <w:gridCol w:w="317"/>
        <w:gridCol w:w="531"/>
        <w:gridCol w:w="486"/>
        <w:gridCol w:w="621"/>
        <w:gridCol w:w="486"/>
        <w:gridCol w:w="621"/>
        <w:gridCol w:w="621"/>
      </w:tblGrid>
      <w:tr w:rsidR="004243A1" w:rsidRPr="00FC7DEA" w:rsidTr="00597A12">
        <w:trPr>
          <w:trHeight w:val="322"/>
          <w:jc w:val="center"/>
        </w:trPr>
        <w:tc>
          <w:tcPr>
            <w:tcW w:w="591" w:type="dxa"/>
            <w:vMerge w:val="restart"/>
            <w:tcBorders>
              <w:top w:val="single" w:sz="4" w:space="0" w:color="auto"/>
              <w:left w:val="nil"/>
              <w:bottom w:val="single" w:sz="4" w:space="0" w:color="000000"/>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LILA</w:t>
            </w:r>
          </w:p>
        </w:tc>
        <w:tc>
          <w:tcPr>
            <w:tcW w:w="3062" w:type="dxa"/>
            <w:gridSpan w:val="6"/>
            <w:tcBorders>
              <w:top w:val="sing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Berat Badan Lahir Bayi</w:t>
            </w:r>
          </w:p>
        </w:tc>
        <w:tc>
          <w:tcPr>
            <w:tcW w:w="621" w:type="dxa"/>
            <w:vMerge w:val="restart"/>
            <w:tcBorders>
              <w:top w:val="single" w:sz="4" w:space="0" w:color="auto"/>
              <w:left w:val="nil"/>
              <w:right w:val="nil"/>
            </w:tcBorders>
            <w:vAlign w:val="center"/>
          </w:tcPr>
          <w:p w:rsidR="004243A1" w:rsidRPr="00FC7DEA" w:rsidRDefault="004243A1" w:rsidP="00597A12">
            <w:pPr>
              <w:spacing w:line="240" w:lineRule="auto"/>
              <w:rPr>
                <w:rFonts w:eastAsia="Times New Roman"/>
                <w:b/>
                <w:bCs/>
                <w:i/>
                <w:color w:val="000000" w:themeColor="text1"/>
                <w:sz w:val="18"/>
                <w:szCs w:val="18"/>
              </w:rPr>
            </w:pPr>
            <w:r w:rsidRPr="00FC7DEA">
              <w:rPr>
                <w:rFonts w:eastAsia="Times New Roman"/>
                <w:b/>
                <w:bCs/>
                <w:i/>
                <w:color w:val="000000" w:themeColor="text1"/>
                <w:sz w:val="18"/>
                <w:szCs w:val="18"/>
              </w:rPr>
              <w:t>p value</w:t>
            </w:r>
          </w:p>
        </w:tc>
      </w:tr>
      <w:tr w:rsidR="004243A1" w:rsidRPr="00FC7DEA" w:rsidTr="00597A12">
        <w:trPr>
          <w:trHeight w:val="322"/>
          <w:jc w:val="center"/>
        </w:trPr>
        <w:tc>
          <w:tcPr>
            <w:tcW w:w="591" w:type="dxa"/>
            <w:vMerge/>
            <w:tcBorders>
              <w:top w:val="single" w:sz="4" w:space="0" w:color="auto"/>
              <w:left w:val="nil"/>
              <w:bottom w:val="single" w:sz="4" w:space="0" w:color="000000"/>
              <w:right w:val="nil"/>
            </w:tcBorders>
            <w:vAlign w:val="center"/>
            <w:hideMark/>
          </w:tcPr>
          <w:p w:rsidR="004243A1" w:rsidRPr="00FC7DEA" w:rsidRDefault="004243A1" w:rsidP="00597A12">
            <w:pPr>
              <w:spacing w:line="240" w:lineRule="auto"/>
              <w:rPr>
                <w:rFonts w:eastAsia="Times New Roman"/>
                <w:b/>
                <w:bCs/>
                <w:color w:val="000000" w:themeColor="text1"/>
                <w:sz w:val="18"/>
                <w:szCs w:val="18"/>
              </w:rPr>
            </w:pPr>
          </w:p>
        </w:tc>
        <w:tc>
          <w:tcPr>
            <w:tcW w:w="848" w:type="dxa"/>
            <w:gridSpan w:val="2"/>
            <w:tcBorders>
              <w:top w:val="sing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Tidak Normal</w:t>
            </w:r>
          </w:p>
        </w:tc>
        <w:tc>
          <w:tcPr>
            <w:tcW w:w="1107" w:type="dxa"/>
            <w:gridSpan w:val="2"/>
            <w:tcBorders>
              <w:top w:val="sing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Normal</w:t>
            </w:r>
          </w:p>
        </w:tc>
        <w:tc>
          <w:tcPr>
            <w:tcW w:w="1107" w:type="dxa"/>
            <w:gridSpan w:val="2"/>
            <w:tcBorders>
              <w:top w:val="sing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Total</w:t>
            </w:r>
          </w:p>
        </w:tc>
        <w:tc>
          <w:tcPr>
            <w:tcW w:w="621" w:type="dxa"/>
            <w:vMerge/>
            <w:tcBorders>
              <w:left w:val="nil"/>
              <w:right w:val="nil"/>
            </w:tcBorders>
            <w:vAlign w:val="center"/>
          </w:tcPr>
          <w:p w:rsidR="004243A1" w:rsidRPr="00FC7DEA" w:rsidRDefault="004243A1" w:rsidP="00597A12">
            <w:pPr>
              <w:spacing w:line="240" w:lineRule="auto"/>
              <w:rPr>
                <w:rFonts w:eastAsia="Times New Roman"/>
                <w:b/>
                <w:bCs/>
                <w:color w:val="000000" w:themeColor="text1"/>
                <w:sz w:val="18"/>
                <w:szCs w:val="18"/>
              </w:rPr>
            </w:pPr>
          </w:p>
        </w:tc>
      </w:tr>
      <w:tr w:rsidR="004243A1" w:rsidRPr="00FC7DEA" w:rsidTr="00597A12">
        <w:trPr>
          <w:trHeight w:val="322"/>
          <w:jc w:val="center"/>
        </w:trPr>
        <w:tc>
          <w:tcPr>
            <w:tcW w:w="591" w:type="dxa"/>
            <w:vMerge/>
            <w:tcBorders>
              <w:top w:val="single" w:sz="4" w:space="0" w:color="auto"/>
              <w:left w:val="nil"/>
              <w:bottom w:val="double" w:sz="4" w:space="0" w:color="auto"/>
              <w:right w:val="nil"/>
            </w:tcBorders>
            <w:vAlign w:val="center"/>
            <w:hideMark/>
          </w:tcPr>
          <w:p w:rsidR="004243A1" w:rsidRPr="00FC7DEA" w:rsidRDefault="004243A1" w:rsidP="00597A12">
            <w:pPr>
              <w:spacing w:line="240" w:lineRule="auto"/>
              <w:rPr>
                <w:rFonts w:eastAsia="Times New Roman"/>
                <w:b/>
                <w:bCs/>
                <w:color w:val="000000" w:themeColor="text1"/>
                <w:sz w:val="18"/>
                <w:szCs w:val="18"/>
              </w:rPr>
            </w:pPr>
          </w:p>
        </w:tc>
        <w:tc>
          <w:tcPr>
            <w:tcW w:w="317"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w:t>
            </w:r>
          </w:p>
        </w:tc>
        <w:tc>
          <w:tcPr>
            <w:tcW w:w="531"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w:t>
            </w:r>
          </w:p>
        </w:tc>
        <w:tc>
          <w:tcPr>
            <w:tcW w:w="486"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w:t>
            </w:r>
          </w:p>
        </w:tc>
        <w:tc>
          <w:tcPr>
            <w:tcW w:w="621"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w:t>
            </w:r>
          </w:p>
        </w:tc>
        <w:tc>
          <w:tcPr>
            <w:tcW w:w="486"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w:t>
            </w:r>
          </w:p>
        </w:tc>
        <w:tc>
          <w:tcPr>
            <w:tcW w:w="621" w:type="dxa"/>
            <w:tcBorders>
              <w:top w:val="nil"/>
              <w:left w:val="nil"/>
              <w:bottom w:val="doub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w:t>
            </w:r>
          </w:p>
        </w:tc>
        <w:tc>
          <w:tcPr>
            <w:tcW w:w="621" w:type="dxa"/>
            <w:vMerge/>
            <w:tcBorders>
              <w:left w:val="nil"/>
              <w:bottom w:val="double" w:sz="4" w:space="0" w:color="auto"/>
              <w:right w:val="nil"/>
            </w:tcBorders>
            <w:vAlign w:val="center"/>
          </w:tcPr>
          <w:p w:rsidR="004243A1" w:rsidRPr="00FC7DEA" w:rsidRDefault="004243A1" w:rsidP="00597A12">
            <w:pPr>
              <w:spacing w:line="240" w:lineRule="auto"/>
              <w:rPr>
                <w:rFonts w:eastAsia="Times New Roman"/>
                <w:b/>
                <w:bCs/>
                <w:color w:val="000000" w:themeColor="text1"/>
                <w:sz w:val="18"/>
                <w:szCs w:val="18"/>
              </w:rPr>
            </w:pPr>
          </w:p>
        </w:tc>
      </w:tr>
      <w:tr w:rsidR="004243A1" w:rsidRPr="00FC7DEA" w:rsidTr="00597A12">
        <w:trPr>
          <w:trHeight w:val="322"/>
          <w:jc w:val="center"/>
        </w:trPr>
        <w:tc>
          <w:tcPr>
            <w:tcW w:w="591" w:type="dxa"/>
            <w:tcBorders>
              <w:top w:val="double" w:sz="4" w:space="0" w:color="auto"/>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Tidak Normal</w:t>
            </w:r>
          </w:p>
        </w:tc>
        <w:tc>
          <w:tcPr>
            <w:tcW w:w="317" w:type="dxa"/>
            <w:tcBorders>
              <w:top w:val="doub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w:t>
            </w:r>
          </w:p>
        </w:tc>
        <w:tc>
          <w:tcPr>
            <w:tcW w:w="531" w:type="dxa"/>
            <w:tcBorders>
              <w:top w:val="sing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0,89</w:t>
            </w:r>
          </w:p>
        </w:tc>
        <w:tc>
          <w:tcPr>
            <w:tcW w:w="486" w:type="dxa"/>
            <w:tcBorders>
              <w:top w:val="sing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0</w:t>
            </w:r>
          </w:p>
        </w:tc>
        <w:tc>
          <w:tcPr>
            <w:tcW w:w="621" w:type="dxa"/>
            <w:tcBorders>
              <w:top w:val="sing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0</w:t>
            </w:r>
          </w:p>
        </w:tc>
        <w:tc>
          <w:tcPr>
            <w:tcW w:w="486" w:type="dxa"/>
            <w:tcBorders>
              <w:top w:val="sing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w:t>
            </w:r>
          </w:p>
        </w:tc>
        <w:tc>
          <w:tcPr>
            <w:tcW w:w="621" w:type="dxa"/>
            <w:tcBorders>
              <w:top w:val="single" w:sz="4" w:space="0" w:color="auto"/>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0,89</w:t>
            </w:r>
          </w:p>
        </w:tc>
        <w:tc>
          <w:tcPr>
            <w:tcW w:w="621" w:type="dxa"/>
            <w:vMerge w:val="restart"/>
            <w:tcBorders>
              <w:top w:val="single" w:sz="4" w:space="0" w:color="auto"/>
              <w:left w:val="nil"/>
              <w:right w:val="nil"/>
            </w:tcBorders>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0,045</w:t>
            </w:r>
          </w:p>
        </w:tc>
      </w:tr>
      <w:tr w:rsidR="004243A1" w:rsidRPr="00FC7DEA" w:rsidTr="00597A12">
        <w:trPr>
          <w:trHeight w:val="322"/>
          <w:jc w:val="center"/>
        </w:trPr>
        <w:tc>
          <w:tcPr>
            <w:tcW w:w="591"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Normal</w:t>
            </w:r>
          </w:p>
        </w:tc>
        <w:tc>
          <w:tcPr>
            <w:tcW w:w="317"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4</w:t>
            </w:r>
          </w:p>
        </w:tc>
        <w:tc>
          <w:tcPr>
            <w:tcW w:w="53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3,57</w:t>
            </w:r>
          </w:p>
        </w:tc>
        <w:tc>
          <w:tcPr>
            <w:tcW w:w="486"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107</w:t>
            </w:r>
          </w:p>
        </w:tc>
        <w:tc>
          <w:tcPr>
            <w:tcW w:w="62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95,54</w:t>
            </w:r>
          </w:p>
        </w:tc>
        <w:tc>
          <w:tcPr>
            <w:tcW w:w="486"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111</w:t>
            </w:r>
          </w:p>
        </w:tc>
        <w:tc>
          <w:tcPr>
            <w:tcW w:w="62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99,11</w:t>
            </w:r>
          </w:p>
        </w:tc>
        <w:tc>
          <w:tcPr>
            <w:tcW w:w="621" w:type="dxa"/>
            <w:vMerge/>
            <w:tcBorders>
              <w:left w:val="nil"/>
              <w:right w:val="nil"/>
            </w:tcBorders>
            <w:vAlign w:val="center"/>
          </w:tcPr>
          <w:p w:rsidR="004243A1" w:rsidRPr="00FC7DEA" w:rsidRDefault="004243A1" w:rsidP="00597A12">
            <w:pPr>
              <w:spacing w:line="240" w:lineRule="auto"/>
              <w:rPr>
                <w:rFonts w:eastAsia="Times New Roman"/>
                <w:color w:val="000000" w:themeColor="text1"/>
                <w:sz w:val="18"/>
                <w:szCs w:val="18"/>
              </w:rPr>
            </w:pPr>
          </w:p>
        </w:tc>
      </w:tr>
      <w:tr w:rsidR="004243A1" w:rsidRPr="00FC7DEA" w:rsidTr="00597A12">
        <w:trPr>
          <w:trHeight w:val="322"/>
          <w:jc w:val="center"/>
        </w:trPr>
        <w:tc>
          <w:tcPr>
            <w:tcW w:w="591" w:type="dxa"/>
            <w:tcBorders>
              <w:top w:val="nil"/>
              <w:left w:val="nil"/>
              <w:bottom w:val="single" w:sz="4" w:space="0" w:color="auto"/>
              <w:right w:val="nil"/>
            </w:tcBorders>
            <w:shd w:val="clear" w:color="auto" w:fill="auto"/>
            <w:noWrap/>
            <w:vAlign w:val="center"/>
            <w:hideMark/>
          </w:tcPr>
          <w:p w:rsidR="004243A1" w:rsidRPr="00FC7DEA" w:rsidRDefault="004243A1" w:rsidP="00597A12">
            <w:pPr>
              <w:spacing w:line="240" w:lineRule="auto"/>
              <w:rPr>
                <w:rFonts w:eastAsia="Times New Roman"/>
                <w:b/>
                <w:bCs/>
                <w:color w:val="000000" w:themeColor="text1"/>
                <w:sz w:val="18"/>
                <w:szCs w:val="18"/>
              </w:rPr>
            </w:pPr>
            <w:r w:rsidRPr="00FC7DEA">
              <w:rPr>
                <w:rFonts w:eastAsia="Times New Roman"/>
                <w:b/>
                <w:bCs/>
                <w:color w:val="000000" w:themeColor="text1"/>
                <w:sz w:val="18"/>
                <w:szCs w:val="18"/>
              </w:rPr>
              <w:t>Total</w:t>
            </w:r>
          </w:p>
        </w:tc>
        <w:tc>
          <w:tcPr>
            <w:tcW w:w="317"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5</w:t>
            </w:r>
          </w:p>
        </w:tc>
        <w:tc>
          <w:tcPr>
            <w:tcW w:w="53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4,46</w:t>
            </w:r>
          </w:p>
        </w:tc>
        <w:tc>
          <w:tcPr>
            <w:tcW w:w="486"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107</w:t>
            </w:r>
          </w:p>
        </w:tc>
        <w:tc>
          <w:tcPr>
            <w:tcW w:w="62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95,54</w:t>
            </w:r>
          </w:p>
        </w:tc>
        <w:tc>
          <w:tcPr>
            <w:tcW w:w="486"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112</w:t>
            </w:r>
          </w:p>
        </w:tc>
        <w:tc>
          <w:tcPr>
            <w:tcW w:w="621" w:type="dxa"/>
            <w:tcBorders>
              <w:top w:val="nil"/>
              <w:left w:val="nil"/>
              <w:bottom w:val="single" w:sz="4" w:space="0" w:color="auto"/>
              <w:right w:val="nil"/>
            </w:tcBorders>
            <w:shd w:val="clear" w:color="auto" w:fill="auto"/>
            <w:noWrap/>
            <w:vAlign w:val="center"/>
          </w:tcPr>
          <w:p w:rsidR="004243A1" w:rsidRPr="00FC7DEA" w:rsidRDefault="004243A1" w:rsidP="00597A12">
            <w:pPr>
              <w:spacing w:line="240" w:lineRule="auto"/>
              <w:rPr>
                <w:rFonts w:eastAsia="Times New Roman"/>
                <w:color w:val="000000" w:themeColor="text1"/>
                <w:sz w:val="18"/>
                <w:szCs w:val="18"/>
              </w:rPr>
            </w:pPr>
            <w:r w:rsidRPr="00FC7DEA">
              <w:rPr>
                <w:rFonts w:eastAsia="Times New Roman"/>
                <w:color w:val="000000" w:themeColor="text1"/>
                <w:sz w:val="18"/>
                <w:szCs w:val="18"/>
              </w:rPr>
              <w:t>100</w:t>
            </w:r>
          </w:p>
        </w:tc>
        <w:tc>
          <w:tcPr>
            <w:tcW w:w="621" w:type="dxa"/>
            <w:vMerge/>
            <w:tcBorders>
              <w:left w:val="nil"/>
              <w:bottom w:val="single" w:sz="4" w:space="0" w:color="auto"/>
              <w:right w:val="nil"/>
            </w:tcBorders>
            <w:vAlign w:val="center"/>
          </w:tcPr>
          <w:p w:rsidR="004243A1" w:rsidRPr="00FC7DEA" w:rsidRDefault="004243A1" w:rsidP="00597A12">
            <w:pPr>
              <w:spacing w:line="240" w:lineRule="auto"/>
              <w:rPr>
                <w:rFonts w:eastAsia="Times New Roman"/>
                <w:color w:val="000000" w:themeColor="text1"/>
                <w:sz w:val="18"/>
                <w:szCs w:val="18"/>
              </w:rPr>
            </w:pPr>
          </w:p>
        </w:tc>
      </w:tr>
    </w:tbl>
    <w:p w:rsidR="004243A1" w:rsidRPr="00FC7DEA" w:rsidRDefault="004243A1" w:rsidP="004243A1">
      <w:pPr>
        <w:spacing w:line="240" w:lineRule="auto"/>
        <w:ind w:firstLine="720"/>
        <w:rPr>
          <w:color w:val="000000" w:themeColor="text1"/>
        </w:rPr>
      </w:pPr>
    </w:p>
    <w:p w:rsidR="004243A1" w:rsidRPr="00FC7DEA" w:rsidRDefault="004243A1" w:rsidP="004243A1">
      <w:pPr>
        <w:spacing w:line="240" w:lineRule="auto"/>
        <w:ind w:firstLine="567"/>
        <w:rPr>
          <w:color w:val="000000" w:themeColor="text1"/>
          <w:lang w:val="sv-SE"/>
        </w:rPr>
      </w:pPr>
      <w:r w:rsidRPr="00FC7DEA">
        <w:rPr>
          <w:color w:val="000000" w:themeColor="text1"/>
        </w:rPr>
        <w:t xml:space="preserve">Berdasarkan uji statistik </w:t>
      </w:r>
      <w:r w:rsidRPr="00FC7DEA">
        <w:rPr>
          <w:i/>
          <w:color w:val="000000" w:themeColor="text1"/>
        </w:rPr>
        <w:t xml:space="preserve">chi square </w:t>
      </w:r>
      <w:r w:rsidRPr="00FC7DEA">
        <w:rPr>
          <w:color w:val="000000" w:themeColor="text1"/>
        </w:rPr>
        <w:t xml:space="preserve">pada tabel 5.3 didapatkan hasil </w:t>
      </w:r>
      <w:r w:rsidRPr="00FC7DEA">
        <w:rPr>
          <w:i/>
          <w:color w:val="000000" w:themeColor="text1"/>
        </w:rPr>
        <w:t>p value</w:t>
      </w:r>
      <w:r w:rsidRPr="00FC7DEA">
        <w:rPr>
          <w:color w:val="000000" w:themeColor="text1"/>
        </w:rPr>
        <w:t xml:space="preserve"> 0,045 &lt; 0</w:t>
      </w:r>
      <w:proofErr w:type="gramStart"/>
      <w:r w:rsidRPr="00FC7DEA">
        <w:rPr>
          <w:color w:val="000000" w:themeColor="text1"/>
        </w:rPr>
        <w:t>,05</w:t>
      </w:r>
      <w:proofErr w:type="gramEnd"/>
      <w:r w:rsidRPr="00FC7DEA">
        <w:rPr>
          <w:color w:val="000000" w:themeColor="text1"/>
        </w:rPr>
        <w:t xml:space="preserve">. </w:t>
      </w:r>
      <w:proofErr w:type="gramStart"/>
      <w:r w:rsidRPr="00FC7DEA">
        <w:rPr>
          <w:color w:val="000000" w:themeColor="text1"/>
        </w:rPr>
        <w:t>Hal ini menyatakan bahwa terdapat hubungan antara</w:t>
      </w:r>
      <w:r w:rsidRPr="00FC7DEA">
        <w:rPr>
          <w:color w:val="000000" w:themeColor="text1"/>
          <w:lang w:val="sv-SE"/>
        </w:rPr>
        <w:t xml:space="preserve"> LILA ibu hamil dengan berat badan lahir bayi di Rumah Bersalin Cempedak tahun 2013.</w:t>
      </w:r>
      <w:proofErr w:type="gramEnd"/>
    </w:p>
    <w:p w:rsidR="004243A1" w:rsidRPr="00FC7DEA" w:rsidRDefault="004243A1" w:rsidP="004243A1">
      <w:pPr>
        <w:spacing w:line="240" w:lineRule="auto"/>
        <w:ind w:firstLine="567"/>
        <w:rPr>
          <w:color w:val="000000" w:themeColor="text1"/>
          <w:lang w:val="sv-SE"/>
        </w:rPr>
      </w:pPr>
      <w:r w:rsidRPr="00FC7DEA">
        <w:rPr>
          <w:color w:val="000000" w:themeColor="text1"/>
          <w:lang w:val="id-ID"/>
        </w:rPr>
        <w:t xml:space="preserve">Dari hasil </w:t>
      </w:r>
      <w:r w:rsidRPr="00FC7DEA">
        <w:rPr>
          <w:color w:val="000000" w:themeColor="text1"/>
        </w:rPr>
        <w:t xml:space="preserve">tersebut </w:t>
      </w:r>
      <w:r w:rsidRPr="00FC7DEA">
        <w:rPr>
          <w:color w:val="000000" w:themeColor="text1"/>
          <w:lang w:val="id-ID"/>
        </w:rPr>
        <w:t>dapat dijelaskan bahwa</w:t>
      </w:r>
      <w:r w:rsidRPr="00FC7DEA">
        <w:rPr>
          <w:color w:val="000000" w:themeColor="text1"/>
        </w:rPr>
        <w:t xml:space="preserve"> berat badan lahir tidak  normal</w:t>
      </w:r>
      <w:r w:rsidRPr="00FC7DEA">
        <w:rPr>
          <w:color w:val="000000" w:themeColor="text1"/>
          <w:lang w:val="id-ID"/>
        </w:rPr>
        <w:t xml:space="preserve"> (&lt;2500 </w:t>
      </w:r>
      <w:r w:rsidRPr="00FC7DEA">
        <w:rPr>
          <w:color w:val="000000" w:themeColor="text1"/>
        </w:rPr>
        <w:t>atau &gt; 4000 gram</w:t>
      </w:r>
      <w:r w:rsidRPr="00FC7DEA">
        <w:rPr>
          <w:color w:val="000000" w:themeColor="text1"/>
          <w:lang w:val="id-ID"/>
        </w:rPr>
        <w:t xml:space="preserve">) pada ibu dengan LILA &lt; 23,5 cm lebih besar yaitu </w:t>
      </w:r>
      <w:r w:rsidRPr="00FC7DEA">
        <w:rPr>
          <w:color w:val="000000" w:themeColor="text1"/>
        </w:rPr>
        <w:t>0,89</w:t>
      </w:r>
      <w:r w:rsidRPr="00FC7DEA">
        <w:rPr>
          <w:color w:val="000000" w:themeColor="text1"/>
          <w:lang w:val="id-ID"/>
        </w:rPr>
        <w:t>%dibanding ibu dengan LILA ≥ 23,5 cm</w:t>
      </w:r>
      <w:r w:rsidRPr="00FC7DEA">
        <w:rPr>
          <w:b/>
          <w:color w:val="000000" w:themeColor="text1"/>
        </w:rPr>
        <w:t xml:space="preserve">, </w:t>
      </w:r>
      <w:r w:rsidRPr="00FC7DEA">
        <w:rPr>
          <w:color w:val="000000" w:themeColor="text1"/>
        </w:rPr>
        <w:t>yang</w:t>
      </w:r>
      <w:r w:rsidRPr="00FC7DEA">
        <w:rPr>
          <w:color w:val="000000" w:themeColor="text1"/>
          <w:lang w:val="id-ID"/>
        </w:rPr>
        <w:t xml:space="preserve"> berarti ibu dengan r</w:t>
      </w:r>
      <w:r w:rsidRPr="00FC7DEA">
        <w:rPr>
          <w:color w:val="000000" w:themeColor="text1"/>
        </w:rPr>
        <w:t>i</w:t>
      </w:r>
      <w:r w:rsidRPr="00FC7DEA">
        <w:rPr>
          <w:color w:val="000000" w:themeColor="text1"/>
          <w:lang w:val="id-ID"/>
        </w:rPr>
        <w:t xml:space="preserve">siko KEK diperkirakan akan melahirkan bayi </w:t>
      </w:r>
      <w:r w:rsidRPr="00FC7DEA">
        <w:rPr>
          <w:color w:val="000000" w:themeColor="text1"/>
        </w:rPr>
        <w:t>dengan berat lahir rendah</w:t>
      </w:r>
      <w:r w:rsidRPr="00FC7DEA">
        <w:rPr>
          <w:color w:val="000000" w:themeColor="text1"/>
          <w:lang w:val="id-ID"/>
        </w:rPr>
        <w:t xml:space="preserve">. </w:t>
      </w:r>
      <w:r w:rsidRPr="00FC7DEA">
        <w:rPr>
          <w:color w:val="000000" w:themeColor="text1"/>
        </w:rPr>
        <w:t xml:space="preserve">Berdasarkan uji statistik </w:t>
      </w:r>
      <w:r w:rsidRPr="00FC7DEA">
        <w:rPr>
          <w:i/>
          <w:color w:val="000000" w:themeColor="text1"/>
        </w:rPr>
        <w:t>chi square</w:t>
      </w:r>
      <w:r w:rsidRPr="00FC7DEA">
        <w:rPr>
          <w:color w:val="000000" w:themeColor="text1"/>
        </w:rPr>
        <w:t xml:space="preserve">, didapatkan hasil </w:t>
      </w:r>
      <w:r w:rsidRPr="00FC7DEA">
        <w:rPr>
          <w:i/>
          <w:color w:val="000000" w:themeColor="text1"/>
        </w:rPr>
        <w:t>p value</w:t>
      </w:r>
      <w:r w:rsidRPr="00FC7DEA">
        <w:rPr>
          <w:color w:val="000000" w:themeColor="text1"/>
        </w:rPr>
        <w:t xml:space="preserve"> 0,045 &lt; 0</w:t>
      </w:r>
      <w:proofErr w:type="gramStart"/>
      <w:r w:rsidRPr="00FC7DEA">
        <w:rPr>
          <w:color w:val="000000" w:themeColor="text1"/>
        </w:rPr>
        <w:t>,05</w:t>
      </w:r>
      <w:proofErr w:type="gramEnd"/>
      <w:r w:rsidRPr="00FC7DEA">
        <w:rPr>
          <w:color w:val="000000" w:themeColor="text1"/>
        </w:rPr>
        <w:t xml:space="preserve">. </w:t>
      </w:r>
      <w:proofErr w:type="gramStart"/>
      <w:r w:rsidRPr="00FC7DEA">
        <w:rPr>
          <w:color w:val="000000" w:themeColor="text1"/>
        </w:rPr>
        <w:t>Hal ini menyatakan bahwa terdapat hubungan antara</w:t>
      </w:r>
      <w:r w:rsidRPr="00FC7DEA">
        <w:rPr>
          <w:color w:val="000000" w:themeColor="text1"/>
          <w:lang w:val="sv-SE"/>
        </w:rPr>
        <w:t xml:space="preserve"> LILA ibu hamil dengan berat badan lahir bayi di Rumah Bersalin Cempedak tahun 2013.</w:t>
      </w:r>
      <w:proofErr w:type="gramEnd"/>
    </w:p>
    <w:p w:rsidR="004243A1" w:rsidRPr="00FC7DEA" w:rsidRDefault="004243A1" w:rsidP="004243A1">
      <w:pPr>
        <w:pStyle w:val="Title"/>
        <w:ind w:firstLine="567"/>
        <w:jc w:val="both"/>
        <w:rPr>
          <w:b w:val="0"/>
          <w:color w:val="000000" w:themeColor="text1"/>
          <w:szCs w:val="24"/>
        </w:rPr>
      </w:pPr>
      <w:proofErr w:type="gramStart"/>
      <w:r w:rsidRPr="00FC7DEA">
        <w:rPr>
          <w:b w:val="0"/>
          <w:color w:val="000000" w:themeColor="text1"/>
          <w:szCs w:val="24"/>
        </w:rPr>
        <w:lastRenderedPageBreak/>
        <w:t xml:space="preserve">Penelitian ini sejalan </w:t>
      </w:r>
      <w:r w:rsidRPr="00FC7DEA">
        <w:rPr>
          <w:b w:val="0"/>
          <w:color w:val="000000" w:themeColor="text1"/>
          <w:szCs w:val="24"/>
          <w:lang w:val="id-ID"/>
        </w:rPr>
        <w:t xml:space="preserve">dengan hasil </w:t>
      </w:r>
      <w:r w:rsidRPr="00FC7DEA">
        <w:rPr>
          <w:b w:val="0"/>
          <w:color w:val="000000" w:themeColor="text1"/>
          <w:szCs w:val="24"/>
        </w:rPr>
        <w:t>p</w:t>
      </w:r>
      <w:r w:rsidRPr="00FC7DEA">
        <w:rPr>
          <w:b w:val="0"/>
          <w:color w:val="000000" w:themeColor="text1"/>
          <w:szCs w:val="24"/>
          <w:lang w:val="id-ID"/>
        </w:rPr>
        <w:t xml:space="preserve">enelitian </w:t>
      </w:r>
      <w:r w:rsidRPr="00FC7DEA">
        <w:rPr>
          <w:b w:val="0"/>
          <w:color w:val="000000" w:themeColor="text1"/>
          <w:szCs w:val="24"/>
        </w:rPr>
        <w:t>yang dilakukan oleh Mutalazimah (2005) di RSUD Dr. Moewardi Surakarta menyimpulkan adanya hubungan antara LILA ibu hamil dengan berat bayi lahir.</w:t>
      </w:r>
      <w:proofErr w:type="gramEnd"/>
      <w:r w:rsidRPr="00FC7DEA">
        <w:rPr>
          <w:b w:val="0"/>
          <w:color w:val="000000" w:themeColor="text1"/>
          <w:szCs w:val="24"/>
        </w:rPr>
        <w:t xml:space="preserve"> Demikian pula dengan hasil penelitian Hanifa (2009) di Surakarta </w:t>
      </w:r>
      <w:proofErr w:type="gramStart"/>
      <w:r w:rsidRPr="00FC7DEA">
        <w:rPr>
          <w:b w:val="0"/>
          <w:color w:val="000000" w:themeColor="text1"/>
          <w:szCs w:val="24"/>
        </w:rPr>
        <w:t>menyatakan  bahwa</w:t>
      </w:r>
      <w:proofErr w:type="gramEnd"/>
      <w:r w:rsidRPr="00FC7DEA">
        <w:rPr>
          <w:b w:val="0"/>
          <w:color w:val="000000" w:themeColor="text1"/>
          <w:szCs w:val="24"/>
        </w:rPr>
        <w:t xml:space="preserve">  ada  hubungan yang positif antara status gizi ibu hamil dengan berat badan bayi lahir.  </w:t>
      </w:r>
      <w:proofErr w:type="gramStart"/>
      <w:r w:rsidRPr="00FC7DEA">
        <w:rPr>
          <w:b w:val="0"/>
          <w:color w:val="000000" w:themeColor="text1"/>
          <w:szCs w:val="24"/>
        </w:rPr>
        <w:t xml:space="preserve">Didukung oleh penelitian </w:t>
      </w:r>
      <w:r w:rsidRPr="00FC7DEA">
        <w:rPr>
          <w:b w:val="0"/>
          <w:color w:val="000000" w:themeColor="text1"/>
          <w:szCs w:val="24"/>
          <w:lang w:val="id-ID"/>
        </w:rPr>
        <w:t>Ferial</w:t>
      </w:r>
      <w:r w:rsidRPr="00FC7DEA">
        <w:rPr>
          <w:b w:val="0"/>
          <w:color w:val="000000" w:themeColor="text1"/>
          <w:szCs w:val="24"/>
        </w:rPr>
        <w:t xml:space="preserve"> (2011) </w:t>
      </w:r>
      <w:r w:rsidRPr="00FC7DEA">
        <w:rPr>
          <w:b w:val="0"/>
          <w:color w:val="000000" w:themeColor="text1"/>
          <w:szCs w:val="24"/>
          <w:lang w:val="id-ID"/>
        </w:rPr>
        <w:t>di Makassar</w:t>
      </w:r>
      <w:r w:rsidRPr="00FC7DEA">
        <w:rPr>
          <w:b w:val="0"/>
          <w:color w:val="000000" w:themeColor="text1"/>
          <w:szCs w:val="24"/>
        </w:rPr>
        <w:t xml:space="preserve"> dengan hasil terdapat</w:t>
      </w:r>
      <w:r w:rsidRPr="00FC7DEA">
        <w:rPr>
          <w:b w:val="0"/>
          <w:color w:val="000000" w:themeColor="text1"/>
          <w:szCs w:val="24"/>
          <w:lang w:val="id-ID"/>
        </w:rPr>
        <w:t xml:space="preserve"> hubungan yang bermakna antara </w:t>
      </w:r>
      <w:r w:rsidRPr="00FC7DEA">
        <w:rPr>
          <w:b w:val="0"/>
          <w:color w:val="000000" w:themeColor="text1"/>
          <w:szCs w:val="24"/>
        </w:rPr>
        <w:t>berat badan lahir</w:t>
      </w:r>
      <w:r w:rsidRPr="00FC7DEA">
        <w:rPr>
          <w:b w:val="0"/>
          <w:color w:val="000000" w:themeColor="text1"/>
          <w:szCs w:val="24"/>
          <w:lang w:val="id-ID"/>
        </w:rPr>
        <w:t xml:space="preserve"> dengan ukuran LILA.</w:t>
      </w:r>
      <w:proofErr w:type="gramEnd"/>
      <w:r w:rsidRPr="00FC7DEA">
        <w:rPr>
          <w:b w:val="0"/>
          <w:color w:val="000000" w:themeColor="text1"/>
          <w:szCs w:val="24"/>
        </w:rPr>
        <w:t xml:space="preserve"> </w:t>
      </w:r>
      <w:proofErr w:type="gramStart"/>
      <w:r w:rsidRPr="00FC7DEA">
        <w:rPr>
          <w:b w:val="0"/>
          <w:color w:val="000000" w:themeColor="text1"/>
          <w:szCs w:val="24"/>
        </w:rPr>
        <w:t>H</w:t>
      </w:r>
      <w:r w:rsidRPr="00FC7DEA">
        <w:rPr>
          <w:b w:val="0"/>
          <w:color w:val="000000" w:themeColor="text1"/>
          <w:szCs w:val="24"/>
          <w:lang w:val="id-ID"/>
        </w:rPr>
        <w:t>a</w:t>
      </w:r>
      <w:r w:rsidRPr="00FC7DEA">
        <w:rPr>
          <w:b w:val="0"/>
          <w:color w:val="000000" w:themeColor="text1"/>
          <w:szCs w:val="24"/>
        </w:rPr>
        <w:t xml:space="preserve">sil penelitiantersebut menjelaskan </w:t>
      </w:r>
      <w:r w:rsidRPr="00FC7DEA">
        <w:rPr>
          <w:b w:val="0"/>
          <w:color w:val="000000" w:themeColor="text1"/>
          <w:szCs w:val="24"/>
          <w:lang w:val="id-ID"/>
        </w:rPr>
        <w:t xml:space="preserve">bahwa semakin baik </w:t>
      </w:r>
      <w:r w:rsidRPr="00FC7DEA">
        <w:rPr>
          <w:b w:val="0"/>
          <w:color w:val="000000" w:themeColor="text1"/>
          <w:szCs w:val="24"/>
        </w:rPr>
        <w:t xml:space="preserve">LILA ibu hamil </w:t>
      </w:r>
      <w:r w:rsidRPr="00FC7DEA">
        <w:rPr>
          <w:b w:val="0"/>
          <w:color w:val="000000" w:themeColor="text1"/>
          <w:szCs w:val="24"/>
          <w:lang w:val="id-ID"/>
        </w:rPr>
        <w:t>maka semakin potensial ibu melahirkan bayi</w:t>
      </w:r>
      <w:r w:rsidRPr="00FC7DEA">
        <w:rPr>
          <w:b w:val="0"/>
          <w:color w:val="000000" w:themeColor="text1"/>
          <w:szCs w:val="24"/>
        </w:rPr>
        <w:t xml:space="preserve"> dengan</w:t>
      </w:r>
      <w:r w:rsidRPr="00FC7DEA">
        <w:rPr>
          <w:b w:val="0"/>
          <w:color w:val="000000" w:themeColor="text1"/>
          <w:szCs w:val="24"/>
          <w:lang w:val="id-ID"/>
        </w:rPr>
        <w:t xml:space="preserve"> berat badan lahir normal.</w:t>
      </w:r>
      <w:proofErr w:type="gramEnd"/>
    </w:p>
    <w:p w:rsidR="004243A1" w:rsidRPr="00FC7DEA" w:rsidRDefault="004243A1" w:rsidP="004243A1">
      <w:pPr>
        <w:pStyle w:val="Title"/>
        <w:ind w:firstLine="567"/>
        <w:jc w:val="both"/>
        <w:rPr>
          <w:b w:val="0"/>
          <w:color w:val="000000" w:themeColor="text1"/>
          <w:szCs w:val="24"/>
        </w:rPr>
      </w:pPr>
      <w:proofErr w:type="gramStart"/>
      <w:r w:rsidRPr="00FC7DEA">
        <w:rPr>
          <w:b w:val="0"/>
          <w:color w:val="000000" w:themeColor="text1"/>
          <w:szCs w:val="24"/>
        </w:rPr>
        <w:t>Selain itu, dari hasil penelitian yang telah dilakukan dapat diketahui bahwa tidak selalu bayi dengan berat badan tidak normal terlahir dari ibu yang berisiko KEK.</w:t>
      </w:r>
      <w:proofErr w:type="gramEnd"/>
      <w:r w:rsidRPr="00FC7DEA">
        <w:rPr>
          <w:b w:val="0"/>
          <w:color w:val="000000" w:themeColor="text1"/>
          <w:szCs w:val="24"/>
        </w:rPr>
        <w:t xml:space="preserve"> </w:t>
      </w:r>
      <w:proofErr w:type="gramStart"/>
      <w:r w:rsidRPr="00FC7DEA">
        <w:rPr>
          <w:b w:val="0"/>
          <w:color w:val="000000" w:themeColor="text1"/>
          <w:szCs w:val="24"/>
        </w:rPr>
        <w:t>Hal ini disebabkan oleh berbagai faktor yang mempengaruhi berat lahir bayi seperti faktor ibu, faktor janin dan faktor lingkungan.</w:t>
      </w:r>
      <w:proofErr w:type="gramEnd"/>
      <w:r w:rsidRPr="00FC7DEA">
        <w:rPr>
          <w:b w:val="0"/>
          <w:color w:val="000000" w:themeColor="text1"/>
          <w:szCs w:val="24"/>
        </w:rPr>
        <w:t xml:space="preserve"> Faktor ibu meliputi penyakit pada saat kehamilan, komplikasi kehamilan,</w:t>
      </w:r>
      <w:proofErr w:type="gramStart"/>
      <w:r w:rsidRPr="00FC7DEA">
        <w:rPr>
          <w:b w:val="0"/>
          <w:color w:val="000000" w:themeColor="text1"/>
          <w:szCs w:val="24"/>
        </w:rPr>
        <w:t>  usia</w:t>
      </w:r>
      <w:proofErr w:type="gramEnd"/>
      <w:r w:rsidRPr="00FC7DEA">
        <w:rPr>
          <w:b w:val="0"/>
          <w:color w:val="000000" w:themeColor="text1"/>
          <w:szCs w:val="24"/>
        </w:rPr>
        <w:t xml:space="preserve"> dan paritas, serta kebiasaan ibu. </w:t>
      </w:r>
      <w:proofErr w:type="gramStart"/>
      <w:r w:rsidRPr="00FC7DEA">
        <w:rPr>
          <w:b w:val="0"/>
          <w:color w:val="000000" w:themeColor="text1"/>
          <w:szCs w:val="24"/>
        </w:rPr>
        <w:t>Faktor janin yaitu prematur, hidramion, kehamilan ganda dan kelainan kromosom.</w:t>
      </w:r>
      <w:proofErr w:type="gramEnd"/>
      <w:r w:rsidRPr="00FC7DEA">
        <w:rPr>
          <w:b w:val="0"/>
          <w:color w:val="000000" w:themeColor="text1"/>
          <w:szCs w:val="24"/>
        </w:rPr>
        <w:t xml:space="preserve"> </w:t>
      </w:r>
      <w:proofErr w:type="gramStart"/>
      <w:r w:rsidRPr="00FC7DEA">
        <w:rPr>
          <w:b w:val="0"/>
          <w:color w:val="000000" w:themeColor="text1"/>
          <w:szCs w:val="24"/>
        </w:rPr>
        <w:t>Faktor lingkungan seperti tempat tinggal di dataran tinggi, radiasi, sosio-ekonomi dan paparan zat-zat racun.</w:t>
      </w:r>
      <w:proofErr w:type="gramEnd"/>
      <w:r w:rsidRPr="00FC7DEA">
        <w:rPr>
          <w:b w:val="0"/>
          <w:color w:val="000000" w:themeColor="text1"/>
          <w:szCs w:val="24"/>
        </w:rPr>
        <w:t xml:space="preserve"> </w:t>
      </w:r>
    </w:p>
    <w:p w:rsidR="004243A1" w:rsidRPr="00FC7DEA" w:rsidRDefault="004243A1" w:rsidP="004243A1">
      <w:pPr>
        <w:pStyle w:val="Title"/>
        <w:ind w:firstLine="567"/>
        <w:jc w:val="both"/>
        <w:rPr>
          <w:b w:val="0"/>
          <w:color w:val="000000" w:themeColor="text1"/>
          <w:szCs w:val="24"/>
        </w:rPr>
      </w:pPr>
      <w:r w:rsidRPr="00FC7DEA">
        <w:rPr>
          <w:b w:val="0"/>
          <w:color w:val="000000" w:themeColor="text1"/>
          <w:szCs w:val="24"/>
        </w:rPr>
        <w:t xml:space="preserve">Berdasarkan hasil penelitian dan teori yang ada, peneliti berpendapat bahwa status gizi ibu hamil sangat mempengaruhi pertumbuhan janin </w:t>
      </w:r>
      <w:proofErr w:type="gramStart"/>
      <w:r w:rsidRPr="00FC7DEA">
        <w:rPr>
          <w:b w:val="0"/>
          <w:color w:val="000000" w:themeColor="text1"/>
          <w:szCs w:val="24"/>
        </w:rPr>
        <w:t>yang  sedang</w:t>
      </w:r>
      <w:proofErr w:type="gramEnd"/>
      <w:r w:rsidRPr="00FC7DEA">
        <w:rPr>
          <w:b w:val="0"/>
          <w:color w:val="000000" w:themeColor="text1"/>
          <w:szCs w:val="24"/>
        </w:rPr>
        <w:t xml:space="preserve"> dikandung. Bila status gizi ibu normal pada masa kehamilan maka kemungkinan besar </w:t>
      </w:r>
      <w:proofErr w:type="gramStart"/>
      <w:r w:rsidRPr="00FC7DEA">
        <w:rPr>
          <w:b w:val="0"/>
          <w:color w:val="000000" w:themeColor="text1"/>
          <w:szCs w:val="24"/>
        </w:rPr>
        <w:t>akan</w:t>
      </w:r>
      <w:proofErr w:type="gramEnd"/>
      <w:r w:rsidRPr="00FC7DEA">
        <w:rPr>
          <w:b w:val="0"/>
          <w:color w:val="000000" w:themeColor="text1"/>
          <w:szCs w:val="24"/>
        </w:rPr>
        <w:t xml:space="preserve"> melahirkan </w:t>
      </w:r>
      <w:r w:rsidRPr="00FC7DEA">
        <w:rPr>
          <w:b w:val="0"/>
          <w:color w:val="000000" w:themeColor="text1"/>
          <w:szCs w:val="24"/>
        </w:rPr>
        <w:lastRenderedPageBreak/>
        <w:t xml:space="preserve">bayi yang sehat dengan berat badan normal. Dengan kata </w:t>
      </w:r>
      <w:proofErr w:type="gramStart"/>
      <w:r w:rsidRPr="00FC7DEA">
        <w:rPr>
          <w:b w:val="0"/>
          <w:color w:val="000000" w:themeColor="text1"/>
          <w:szCs w:val="24"/>
        </w:rPr>
        <w:t>lain</w:t>
      </w:r>
      <w:proofErr w:type="gramEnd"/>
      <w:r w:rsidRPr="00FC7DEA">
        <w:rPr>
          <w:b w:val="0"/>
          <w:color w:val="000000" w:themeColor="text1"/>
          <w:szCs w:val="24"/>
        </w:rPr>
        <w:t xml:space="preserve"> kualitas bayi yang dilahirkan tergantung pada keadaan gizi ibu selama hamil.</w:t>
      </w:r>
    </w:p>
    <w:p w:rsidR="004243A1" w:rsidRPr="00FC7DEA" w:rsidRDefault="004243A1" w:rsidP="004243A1">
      <w:pPr>
        <w:pStyle w:val="Title"/>
        <w:ind w:firstLine="567"/>
        <w:jc w:val="both"/>
        <w:rPr>
          <w:b w:val="0"/>
          <w:color w:val="000000" w:themeColor="text1"/>
          <w:szCs w:val="24"/>
        </w:rPr>
      </w:pPr>
    </w:p>
    <w:p w:rsidR="004243A1" w:rsidRPr="00FC7DEA" w:rsidRDefault="004243A1" w:rsidP="004243A1">
      <w:pPr>
        <w:spacing w:line="240" w:lineRule="auto"/>
        <w:rPr>
          <w:b/>
          <w:color w:val="000000" w:themeColor="text1"/>
        </w:rPr>
      </w:pPr>
      <w:r w:rsidRPr="00FC7DEA">
        <w:rPr>
          <w:b/>
          <w:color w:val="000000" w:themeColor="text1"/>
        </w:rPr>
        <w:t>KESIMPULAN DAN SARAN</w:t>
      </w:r>
    </w:p>
    <w:p w:rsidR="004243A1" w:rsidRPr="00FC7DEA" w:rsidRDefault="004243A1" w:rsidP="004243A1">
      <w:pPr>
        <w:autoSpaceDE w:val="0"/>
        <w:autoSpaceDN w:val="0"/>
        <w:adjustRightInd w:val="0"/>
        <w:spacing w:line="240" w:lineRule="auto"/>
        <w:ind w:firstLine="567"/>
        <w:rPr>
          <w:color w:val="000000" w:themeColor="text1"/>
        </w:rPr>
      </w:pPr>
      <w:r w:rsidRPr="00FC7DEA">
        <w:rPr>
          <w:color w:val="000000" w:themeColor="text1"/>
        </w:rPr>
        <w:t xml:space="preserve">Terdapat hubungan yang bermakna antara ukuran LILA ibu hamil dengan berat badan lahir bayi di Rumah Bersalin Cempedak tahun 2013, dengan hasil uji </w:t>
      </w:r>
      <w:r w:rsidRPr="00FC7DEA">
        <w:rPr>
          <w:i/>
          <w:color w:val="000000" w:themeColor="text1"/>
        </w:rPr>
        <w:t>chi square</w:t>
      </w:r>
      <w:r w:rsidRPr="00FC7DEA">
        <w:rPr>
          <w:color w:val="000000" w:themeColor="text1"/>
        </w:rPr>
        <w:t xml:space="preserve"> dimana </w:t>
      </w:r>
      <w:r w:rsidRPr="00FC7DEA">
        <w:rPr>
          <w:i/>
          <w:color w:val="000000" w:themeColor="text1"/>
        </w:rPr>
        <w:t>p value</w:t>
      </w:r>
      <w:r w:rsidRPr="00FC7DEA">
        <w:rPr>
          <w:color w:val="000000" w:themeColor="text1"/>
        </w:rPr>
        <w:t xml:space="preserve"> 0,045 &lt; 0,05.</w:t>
      </w:r>
    </w:p>
    <w:p w:rsidR="004243A1" w:rsidRPr="00FC7DEA" w:rsidRDefault="004243A1" w:rsidP="004243A1">
      <w:pPr>
        <w:pStyle w:val="NoSpacing"/>
        <w:ind w:firstLine="567"/>
        <w:rPr>
          <w:color w:val="000000" w:themeColor="text1"/>
          <w:szCs w:val="24"/>
        </w:rPr>
      </w:pPr>
      <w:r w:rsidRPr="00FC7DEA">
        <w:rPr>
          <w:color w:val="000000" w:themeColor="text1"/>
          <w:szCs w:val="24"/>
        </w:rPr>
        <w:t xml:space="preserve">Diharapkan bidan maupun tenaga kesehatan </w:t>
      </w:r>
      <w:proofErr w:type="gramStart"/>
      <w:r w:rsidRPr="00FC7DEA">
        <w:rPr>
          <w:color w:val="000000" w:themeColor="text1"/>
          <w:szCs w:val="24"/>
        </w:rPr>
        <w:t>lain</w:t>
      </w:r>
      <w:proofErr w:type="gramEnd"/>
      <w:r w:rsidRPr="00FC7DEA">
        <w:rPr>
          <w:color w:val="000000" w:themeColor="text1"/>
          <w:szCs w:val="24"/>
        </w:rPr>
        <w:t xml:space="preserve"> lebih meningkatkan pelayanan kesehatan, baik berupa pemeriksaan kehamilan maupun penyuluhan tentang gizi sehingga risiko KEK dan angka BBLR menurun.</w:t>
      </w:r>
    </w:p>
    <w:p w:rsidR="004243A1" w:rsidRPr="00FC7DEA" w:rsidRDefault="004243A1" w:rsidP="004243A1">
      <w:pPr>
        <w:pStyle w:val="NoSpacing"/>
        <w:ind w:firstLine="567"/>
        <w:rPr>
          <w:color w:val="000000" w:themeColor="text1"/>
          <w:szCs w:val="24"/>
        </w:rPr>
      </w:pPr>
    </w:p>
    <w:p w:rsidR="004243A1" w:rsidRPr="00FC7DEA" w:rsidRDefault="004243A1" w:rsidP="004243A1">
      <w:pPr>
        <w:spacing w:line="240" w:lineRule="auto"/>
        <w:rPr>
          <w:b/>
          <w:color w:val="000000" w:themeColor="text1"/>
        </w:rPr>
      </w:pPr>
      <w:r w:rsidRPr="00FC7DEA">
        <w:rPr>
          <w:b/>
          <w:color w:val="000000" w:themeColor="text1"/>
        </w:rPr>
        <w:t>DAFTAR PUSTAKA</w:t>
      </w:r>
    </w:p>
    <w:p w:rsidR="004243A1" w:rsidRPr="00FC7DEA" w:rsidRDefault="004243A1" w:rsidP="004243A1">
      <w:pPr>
        <w:spacing w:line="240" w:lineRule="auto"/>
        <w:rPr>
          <w:b/>
          <w:color w:val="000000" w:themeColor="text1"/>
        </w:rPr>
      </w:pPr>
    </w:p>
    <w:p w:rsidR="004243A1" w:rsidRPr="00FC7DEA" w:rsidRDefault="004243A1" w:rsidP="004243A1">
      <w:pPr>
        <w:pStyle w:val="ListParagraph"/>
        <w:spacing w:line="240" w:lineRule="auto"/>
        <w:ind w:left="426" w:hanging="426"/>
        <w:jc w:val="both"/>
        <w:rPr>
          <w:rFonts w:ascii="Times New Roman" w:hAnsi="Times New Roman" w:cs="Times New Roman"/>
          <w:color w:val="000000" w:themeColor="text1"/>
          <w:sz w:val="24"/>
          <w:szCs w:val="24"/>
        </w:rPr>
      </w:pPr>
      <w:proofErr w:type="gramStart"/>
      <w:r w:rsidRPr="00FC7DEA">
        <w:rPr>
          <w:rFonts w:ascii="Times New Roman" w:hAnsi="Times New Roman" w:cs="Times New Roman"/>
          <w:color w:val="000000" w:themeColor="text1"/>
          <w:sz w:val="24"/>
          <w:szCs w:val="24"/>
        </w:rPr>
        <w:t>Arisman.</w:t>
      </w:r>
      <w:proofErr w:type="gramEnd"/>
      <w:r w:rsidRPr="00FC7DEA">
        <w:rPr>
          <w:rFonts w:ascii="Times New Roman" w:hAnsi="Times New Roman" w:cs="Times New Roman"/>
          <w:color w:val="000000" w:themeColor="text1"/>
          <w:sz w:val="24"/>
          <w:szCs w:val="24"/>
        </w:rPr>
        <w:t xml:space="preserve"> 2004. </w:t>
      </w:r>
      <w:r w:rsidRPr="00FC7DEA">
        <w:rPr>
          <w:rFonts w:ascii="Times New Roman" w:hAnsi="Times New Roman" w:cs="Times New Roman"/>
          <w:i/>
          <w:color w:val="000000" w:themeColor="text1"/>
          <w:sz w:val="24"/>
          <w:szCs w:val="24"/>
        </w:rPr>
        <w:t>Gizi dalam Daur Kehidupan: Buku Ajar Ilmu Gizi Edisi 1</w:t>
      </w:r>
      <w:r w:rsidRPr="00FC7DEA">
        <w:rPr>
          <w:rFonts w:ascii="Times New Roman" w:hAnsi="Times New Roman" w:cs="Times New Roman"/>
          <w:color w:val="000000" w:themeColor="text1"/>
          <w:sz w:val="24"/>
          <w:szCs w:val="24"/>
        </w:rPr>
        <w:t>. Jakarta: EGC.</w:t>
      </w:r>
    </w:p>
    <w:p w:rsidR="004243A1" w:rsidRPr="00FC7DEA" w:rsidRDefault="004243A1" w:rsidP="004243A1">
      <w:pPr>
        <w:pStyle w:val="ListParagraph"/>
        <w:spacing w:line="240" w:lineRule="auto"/>
        <w:ind w:left="567" w:hanging="567"/>
        <w:jc w:val="both"/>
        <w:rPr>
          <w:rFonts w:ascii="Times New Roman" w:hAnsi="Times New Roman" w:cs="Times New Roman"/>
          <w:color w:val="000000" w:themeColor="text1"/>
          <w:sz w:val="24"/>
          <w:szCs w:val="24"/>
        </w:rPr>
      </w:pPr>
    </w:p>
    <w:p w:rsidR="004243A1" w:rsidRPr="00FC7DEA" w:rsidRDefault="004243A1" w:rsidP="004243A1">
      <w:pPr>
        <w:spacing w:line="240" w:lineRule="auto"/>
        <w:ind w:left="426" w:hanging="426"/>
        <w:rPr>
          <w:color w:val="000000" w:themeColor="text1"/>
        </w:rPr>
      </w:pPr>
      <w:r w:rsidRPr="00FC7DEA">
        <w:rPr>
          <w:color w:val="000000" w:themeColor="text1"/>
        </w:rPr>
        <w:t xml:space="preserve">Aritonang, Irianton. 2010. </w:t>
      </w:r>
      <w:r w:rsidRPr="00FC7DEA">
        <w:rPr>
          <w:i/>
          <w:color w:val="000000" w:themeColor="text1"/>
        </w:rPr>
        <w:t>Menilai Status Gizi untuk Mencapai Sehat Optimal</w:t>
      </w:r>
      <w:r w:rsidRPr="00FC7DEA">
        <w:rPr>
          <w:color w:val="000000" w:themeColor="text1"/>
        </w:rPr>
        <w:t>. Yogyakarta: Leutika.</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color w:val="000000" w:themeColor="text1"/>
        </w:rPr>
      </w:pPr>
      <w:r w:rsidRPr="00FC7DEA">
        <w:rPr>
          <w:color w:val="000000" w:themeColor="text1"/>
        </w:rPr>
        <w:t xml:space="preserve">Budiman, Charles. 2011. </w:t>
      </w:r>
      <w:r w:rsidRPr="00FC7DEA">
        <w:rPr>
          <w:i/>
          <w:color w:val="000000" w:themeColor="text1"/>
        </w:rPr>
        <w:t>Korelasi antara Berat Badan Ibu Hamil dengan Berat Lahir Bayi</w:t>
      </w:r>
      <w:r w:rsidRPr="00FC7DEA">
        <w:rPr>
          <w:color w:val="000000" w:themeColor="text1"/>
        </w:rPr>
        <w:t>. Fakultas Kedokteran Universitas Diponegoro, http:///www.digilib.litbang.depkes.go.id, diakses tanggal 29 September 2013.</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color w:val="000000" w:themeColor="text1"/>
        </w:rPr>
      </w:pPr>
      <w:r w:rsidRPr="00FC7DEA">
        <w:rPr>
          <w:color w:val="000000" w:themeColor="text1"/>
        </w:rPr>
        <w:t xml:space="preserve">Febri, Ayu Bulan. </w:t>
      </w:r>
      <w:proofErr w:type="gramStart"/>
      <w:r w:rsidRPr="00FC7DEA">
        <w:rPr>
          <w:color w:val="000000" w:themeColor="text1"/>
        </w:rPr>
        <w:t xml:space="preserve">2013. </w:t>
      </w:r>
      <w:r w:rsidRPr="00FC7DEA">
        <w:rPr>
          <w:i/>
          <w:color w:val="000000" w:themeColor="text1"/>
        </w:rPr>
        <w:t>Ilmu Gizi untuk Praktisi Kesehatan</w:t>
      </w:r>
      <w:r w:rsidRPr="00FC7DEA">
        <w:rPr>
          <w:color w:val="000000" w:themeColor="text1"/>
        </w:rPr>
        <w:t>.</w:t>
      </w:r>
      <w:proofErr w:type="gramEnd"/>
      <w:r w:rsidRPr="00FC7DEA">
        <w:rPr>
          <w:color w:val="000000" w:themeColor="text1"/>
        </w:rPr>
        <w:t xml:space="preserve"> Yogyakarta: Graha Ilmu.</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color w:val="000000" w:themeColor="text1"/>
        </w:rPr>
      </w:pPr>
      <w:proofErr w:type="gramStart"/>
      <w:r w:rsidRPr="00FC7DEA">
        <w:rPr>
          <w:color w:val="000000" w:themeColor="text1"/>
        </w:rPr>
        <w:t>Ferial, W. Eddyman, 2011.</w:t>
      </w:r>
      <w:proofErr w:type="gramEnd"/>
      <w:r w:rsidRPr="00FC7DEA">
        <w:rPr>
          <w:color w:val="000000" w:themeColor="text1"/>
        </w:rPr>
        <w:t xml:space="preserve"> </w:t>
      </w:r>
      <w:r w:rsidRPr="00FC7DEA">
        <w:rPr>
          <w:i/>
          <w:color w:val="000000" w:themeColor="text1"/>
        </w:rPr>
        <w:t xml:space="preserve">Hubungan antara Status Gizi Ibu Berdasarkan Ukuran </w:t>
      </w:r>
      <w:r w:rsidRPr="00FC7DEA">
        <w:rPr>
          <w:i/>
          <w:color w:val="000000" w:themeColor="text1"/>
        </w:rPr>
        <w:lastRenderedPageBreak/>
        <w:t>Lingkar Lengan Atas (Lila) dengan Berat Badan Lahir Bayi di RSUD Daya Kota Makassar.</w:t>
      </w:r>
      <w:r w:rsidRPr="00FC7DEA">
        <w:rPr>
          <w:rStyle w:val="st"/>
          <w:color w:val="000000" w:themeColor="text1"/>
        </w:rPr>
        <w:t>Fakultas Matematika dan Ilmu Pengetahuan Alam Biologi Universitas Hasanuddin, http://repository.unhas.ac.id, diakses tanggal 15 Januari 2014.</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color w:val="000000" w:themeColor="text1"/>
        </w:rPr>
      </w:pPr>
      <w:r w:rsidRPr="00FC7DEA">
        <w:rPr>
          <w:color w:val="000000" w:themeColor="text1"/>
        </w:rPr>
        <w:t xml:space="preserve">Gibney, Michael J. 2008. </w:t>
      </w:r>
      <w:r w:rsidRPr="00FC7DEA">
        <w:rPr>
          <w:i/>
          <w:color w:val="000000" w:themeColor="text1"/>
        </w:rPr>
        <w:t>Gizi Kesehatan Masyarakat</w:t>
      </w:r>
      <w:r w:rsidRPr="00FC7DEA">
        <w:rPr>
          <w:color w:val="000000" w:themeColor="text1"/>
        </w:rPr>
        <w:t>. Jakarta: EGC.</w:t>
      </w:r>
    </w:p>
    <w:p w:rsidR="004243A1" w:rsidRPr="00FC7DEA" w:rsidRDefault="004243A1" w:rsidP="004243A1">
      <w:pPr>
        <w:spacing w:line="240" w:lineRule="auto"/>
        <w:rPr>
          <w:color w:val="000000" w:themeColor="text1"/>
        </w:rPr>
      </w:pPr>
    </w:p>
    <w:p w:rsidR="004243A1" w:rsidRPr="00FC7DEA" w:rsidRDefault="004243A1" w:rsidP="004243A1">
      <w:pPr>
        <w:spacing w:line="240" w:lineRule="auto"/>
        <w:ind w:left="426" w:hanging="426"/>
        <w:rPr>
          <w:color w:val="000000" w:themeColor="text1"/>
        </w:rPr>
      </w:pPr>
      <w:proofErr w:type="gramStart"/>
      <w:r w:rsidRPr="00FC7DEA">
        <w:rPr>
          <w:color w:val="000000" w:themeColor="text1"/>
        </w:rPr>
        <w:t>Hanifah.</w:t>
      </w:r>
      <w:proofErr w:type="gramEnd"/>
      <w:r w:rsidRPr="00FC7DEA">
        <w:rPr>
          <w:color w:val="000000" w:themeColor="text1"/>
        </w:rPr>
        <w:t xml:space="preserve"> 2009. </w:t>
      </w:r>
      <w:proofErr w:type="gramStart"/>
      <w:r w:rsidRPr="00FC7DEA">
        <w:rPr>
          <w:i/>
          <w:color w:val="000000" w:themeColor="text1"/>
        </w:rPr>
        <w:t>Hubungan  Antara</w:t>
      </w:r>
      <w:proofErr w:type="gramEnd"/>
      <w:r w:rsidRPr="00FC7DEA">
        <w:rPr>
          <w:i/>
          <w:color w:val="000000" w:themeColor="text1"/>
        </w:rPr>
        <w:t xml:space="preserve">  Status  Gizi  Ibu  Hamil  dengan  Berat  Badan Bayi Lahir</w:t>
      </w:r>
      <w:r w:rsidRPr="00FC7DEA">
        <w:rPr>
          <w:color w:val="000000" w:themeColor="text1"/>
        </w:rPr>
        <w:t>. Fakultas Kedokteran Universitas Sebelas Maret Surakarta, http:///www.digilib.litbang.depkes.go.id, diakses tanggal 02 Oktober 2013.</w:t>
      </w:r>
    </w:p>
    <w:p w:rsidR="004243A1" w:rsidRPr="00FC7DEA" w:rsidRDefault="004243A1" w:rsidP="004243A1">
      <w:pPr>
        <w:spacing w:line="240" w:lineRule="auto"/>
        <w:ind w:left="567" w:hanging="567"/>
        <w:rPr>
          <w:color w:val="000000" w:themeColor="text1"/>
        </w:rPr>
      </w:pPr>
    </w:p>
    <w:p w:rsidR="004243A1" w:rsidRPr="00FC7DEA" w:rsidRDefault="004243A1" w:rsidP="004243A1">
      <w:pPr>
        <w:tabs>
          <w:tab w:val="left" w:pos="720"/>
        </w:tabs>
        <w:spacing w:line="240" w:lineRule="auto"/>
        <w:ind w:left="426" w:hanging="426"/>
        <w:rPr>
          <w:i/>
          <w:color w:val="000000" w:themeColor="text1"/>
        </w:rPr>
      </w:pPr>
      <w:r w:rsidRPr="00FC7DEA">
        <w:rPr>
          <w:color w:val="000000" w:themeColor="text1"/>
        </w:rPr>
        <w:t xml:space="preserve">Hidayat, Aziz Alimul. </w:t>
      </w:r>
      <w:proofErr w:type="gramStart"/>
      <w:r w:rsidRPr="00FC7DEA">
        <w:rPr>
          <w:color w:val="000000" w:themeColor="text1"/>
        </w:rPr>
        <w:t xml:space="preserve">2009. </w:t>
      </w:r>
      <w:r w:rsidRPr="00FC7DEA">
        <w:rPr>
          <w:i/>
          <w:color w:val="000000" w:themeColor="text1"/>
        </w:rPr>
        <w:t>Metode Penelitian Keperawatan dan Teknik Analisa Data.</w:t>
      </w:r>
      <w:proofErr w:type="gramEnd"/>
      <w:r w:rsidRPr="00FC7DEA">
        <w:rPr>
          <w:i/>
          <w:color w:val="000000" w:themeColor="text1"/>
        </w:rPr>
        <w:t xml:space="preserve"> </w:t>
      </w:r>
      <w:proofErr w:type="gramStart"/>
      <w:r w:rsidRPr="00FC7DEA">
        <w:rPr>
          <w:color w:val="000000" w:themeColor="text1"/>
        </w:rPr>
        <w:t>Jakarta :</w:t>
      </w:r>
      <w:proofErr w:type="gramEnd"/>
      <w:r w:rsidRPr="00FC7DEA">
        <w:rPr>
          <w:color w:val="000000" w:themeColor="text1"/>
        </w:rPr>
        <w:t xml:space="preserve"> Salemba Medika</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color w:val="000000" w:themeColor="text1"/>
        </w:rPr>
      </w:pPr>
      <w:r w:rsidRPr="00FC7DEA">
        <w:rPr>
          <w:color w:val="000000" w:themeColor="text1"/>
        </w:rPr>
        <w:t xml:space="preserve">Indonesia. </w:t>
      </w:r>
      <w:proofErr w:type="gramStart"/>
      <w:r w:rsidRPr="00FC7DEA">
        <w:rPr>
          <w:color w:val="000000" w:themeColor="text1"/>
        </w:rPr>
        <w:t xml:space="preserve">2013. </w:t>
      </w:r>
      <w:r w:rsidRPr="00FC7DEA">
        <w:rPr>
          <w:i/>
          <w:color w:val="000000" w:themeColor="text1"/>
        </w:rPr>
        <w:t>Penyajian Pokok-Pokok Hasil Riset Kesehatan Dasar 2013.</w:t>
      </w:r>
      <w:proofErr w:type="gramEnd"/>
      <w:r w:rsidRPr="00FC7DEA">
        <w:rPr>
          <w:color w:val="000000" w:themeColor="text1"/>
        </w:rPr>
        <w:t xml:space="preserve"> Jakarta: </w:t>
      </w:r>
      <w:proofErr w:type="gramStart"/>
      <w:r w:rsidRPr="00FC7DEA">
        <w:rPr>
          <w:color w:val="000000" w:themeColor="text1"/>
        </w:rPr>
        <w:t>Departemen  Kesehatan</w:t>
      </w:r>
      <w:proofErr w:type="gramEnd"/>
      <w:r w:rsidRPr="00FC7DEA">
        <w:rPr>
          <w:color w:val="000000" w:themeColor="text1"/>
        </w:rPr>
        <w:t>, Badan  Litbang  Kesehatan.</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426" w:hanging="426"/>
        <w:rPr>
          <w:b/>
          <w:color w:val="000000" w:themeColor="text1"/>
        </w:rPr>
      </w:pPr>
      <w:r w:rsidRPr="00FC7DEA">
        <w:rPr>
          <w:rFonts w:eastAsia="Times New Roman"/>
          <w:bCs/>
          <w:color w:val="000000" w:themeColor="text1"/>
          <w:bdr w:val="none" w:sz="0" w:space="0" w:color="auto" w:frame="1"/>
        </w:rPr>
        <w:t xml:space="preserve">Komang, Ni. </w:t>
      </w:r>
      <w:proofErr w:type="gramStart"/>
      <w:r w:rsidRPr="00FC7DEA">
        <w:rPr>
          <w:rFonts w:eastAsia="Times New Roman"/>
          <w:bCs/>
          <w:color w:val="000000" w:themeColor="text1"/>
          <w:bdr w:val="none" w:sz="0" w:space="0" w:color="auto" w:frame="1"/>
        </w:rPr>
        <w:t xml:space="preserve">2013. </w:t>
      </w:r>
      <w:r w:rsidRPr="00FC7DEA">
        <w:rPr>
          <w:rFonts w:eastAsia="Times New Roman"/>
          <w:bCs/>
          <w:i/>
          <w:color w:val="000000" w:themeColor="text1"/>
          <w:bdr w:val="none" w:sz="0" w:space="0" w:color="auto" w:frame="1"/>
        </w:rPr>
        <w:t>Penyebab Berat Badan Lahir Bayi Rendah Kurus Besar Gemuk.</w:t>
      </w:r>
      <w:proofErr w:type="gramEnd"/>
      <w:r w:rsidRPr="00FC7DEA">
        <w:rPr>
          <w:rFonts w:eastAsia="Times New Roman"/>
          <w:bCs/>
          <w:color w:val="000000" w:themeColor="text1"/>
          <w:bdr w:val="none" w:sz="0" w:space="0" w:color="auto" w:frame="1"/>
        </w:rPr>
        <w:t xml:space="preserve"> Jakarta: remajapunyagaya.blogspot.com. </w:t>
      </w:r>
      <w:proofErr w:type="gramStart"/>
      <w:r w:rsidRPr="00FC7DEA">
        <w:rPr>
          <w:rFonts w:eastAsia="Times New Roman"/>
          <w:bCs/>
          <w:color w:val="000000" w:themeColor="text1"/>
          <w:bdr w:val="none" w:sz="0" w:space="0" w:color="auto" w:frame="1"/>
        </w:rPr>
        <w:t>Diakses tanggal 27 Januari 2014.</w:t>
      </w:r>
      <w:proofErr w:type="gramEnd"/>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Kosim, M. Soleh. 2009. </w:t>
      </w:r>
      <w:r w:rsidRPr="00FC7DEA">
        <w:rPr>
          <w:i/>
          <w:color w:val="000000" w:themeColor="text1"/>
        </w:rPr>
        <w:t xml:space="preserve">Buku </w:t>
      </w:r>
      <w:proofErr w:type="gramStart"/>
      <w:r w:rsidRPr="00FC7DEA">
        <w:rPr>
          <w:i/>
          <w:color w:val="000000" w:themeColor="text1"/>
        </w:rPr>
        <w:t>Ajar</w:t>
      </w:r>
      <w:proofErr w:type="gramEnd"/>
      <w:r w:rsidRPr="00FC7DEA">
        <w:rPr>
          <w:i/>
          <w:color w:val="000000" w:themeColor="text1"/>
        </w:rPr>
        <w:t xml:space="preserve"> Neonatologi</w:t>
      </w:r>
      <w:r w:rsidRPr="00FC7DEA">
        <w:rPr>
          <w:color w:val="000000" w:themeColor="text1"/>
        </w:rPr>
        <w:t>. Badan Penerbit IDAI: Jakarta.</w:t>
      </w:r>
    </w:p>
    <w:p w:rsidR="004243A1" w:rsidRPr="00FC7DEA" w:rsidRDefault="004243A1" w:rsidP="004243A1">
      <w:pPr>
        <w:spacing w:line="240" w:lineRule="auto"/>
        <w:ind w:left="567" w:hanging="567"/>
        <w:rPr>
          <w:color w:val="000000" w:themeColor="text1"/>
        </w:rPr>
      </w:pPr>
      <w:r w:rsidRPr="00FC7DEA">
        <w:rPr>
          <w:color w:val="000000" w:themeColor="text1"/>
        </w:rPr>
        <w:t xml:space="preserve">Mandriawati, G.A. 2007. </w:t>
      </w:r>
      <w:r w:rsidRPr="00FC7DEA">
        <w:rPr>
          <w:i/>
          <w:color w:val="000000" w:themeColor="text1"/>
        </w:rPr>
        <w:t>Penuntun Belajar Asuhan Kebidanan Ibu Hamil</w:t>
      </w:r>
      <w:r w:rsidRPr="00FC7DEA">
        <w:rPr>
          <w:color w:val="000000" w:themeColor="text1"/>
        </w:rPr>
        <w:t>. Jakarta: EGC.</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Manuaba, IBG. 2007. </w:t>
      </w:r>
      <w:r w:rsidRPr="00FC7DEA">
        <w:rPr>
          <w:i/>
          <w:color w:val="000000" w:themeColor="text1"/>
        </w:rPr>
        <w:t>Pengantar Kuliah Obstetri</w:t>
      </w:r>
      <w:r w:rsidRPr="00FC7DEA">
        <w:rPr>
          <w:color w:val="000000" w:themeColor="text1"/>
        </w:rPr>
        <w:t>. Jakarta: EGC.</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Ma’rifah, Umi. 2011. </w:t>
      </w:r>
      <w:r w:rsidRPr="00FC7DEA">
        <w:rPr>
          <w:i/>
          <w:color w:val="000000" w:themeColor="text1"/>
        </w:rPr>
        <w:t xml:space="preserve">Hubungan Status Gizi Ibu Hamil Berdasarkan Ukuran Lingkar Lengan Atas dengan Berat Badan Bayi Lahir di BPS Hj. Tinik Susilowati Sidoarjo. </w:t>
      </w:r>
      <w:proofErr w:type="gramStart"/>
      <w:r w:rsidRPr="00FC7DEA">
        <w:rPr>
          <w:color w:val="000000" w:themeColor="text1"/>
        </w:rPr>
        <w:t>FIK-UMSurabaya, diakses tanggal 15 Januari 2014.</w:t>
      </w:r>
      <w:proofErr w:type="gramEnd"/>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proofErr w:type="gramStart"/>
      <w:r w:rsidRPr="00FC7DEA">
        <w:rPr>
          <w:color w:val="000000" w:themeColor="text1"/>
        </w:rPr>
        <w:t>Mitayani.</w:t>
      </w:r>
      <w:proofErr w:type="gramEnd"/>
      <w:r w:rsidRPr="00FC7DEA">
        <w:rPr>
          <w:color w:val="000000" w:themeColor="text1"/>
        </w:rPr>
        <w:t xml:space="preserve"> 2010. </w:t>
      </w:r>
      <w:r w:rsidRPr="00FC7DEA">
        <w:rPr>
          <w:i/>
          <w:color w:val="000000" w:themeColor="text1"/>
        </w:rPr>
        <w:t>Buku Saku Ilmu Gizi</w:t>
      </w:r>
      <w:r w:rsidRPr="00FC7DEA">
        <w:rPr>
          <w:color w:val="000000" w:themeColor="text1"/>
        </w:rPr>
        <w:t>. Jakarta: TIM.</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proofErr w:type="gramStart"/>
      <w:r w:rsidRPr="00FC7DEA">
        <w:rPr>
          <w:color w:val="000000" w:themeColor="text1"/>
        </w:rPr>
        <w:t>Mutalazimah.</w:t>
      </w:r>
      <w:proofErr w:type="gramEnd"/>
      <w:r w:rsidRPr="00FC7DEA">
        <w:rPr>
          <w:color w:val="000000" w:themeColor="text1"/>
        </w:rPr>
        <w:t xml:space="preserve">  2005. </w:t>
      </w:r>
      <w:r w:rsidRPr="00FC7DEA">
        <w:rPr>
          <w:i/>
          <w:color w:val="000000" w:themeColor="text1"/>
        </w:rPr>
        <w:t>Hubungan Lingkar Lengan Atas (LILA) dan Kadar Hemoglobin (Hb) Ibu Hamil dengan Berat Bayi Lahir di RSUD Dr. Moewardi Surakarta.</w:t>
      </w:r>
      <w:r w:rsidRPr="00FC7DEA">
        <w:rPr>
          <w:color w:val="000000" w:themeColor="text1"/>
        </w:rPr>
        <w:t>Fakultas  Kedokteran  Universitas  Muhammadiyah Surakarta, http:///www.digilib.litbang.depkes.go.id, diakses tanggal 15 Januari 2013.</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Notoatmodjo, S. 2005. </w:t>
      </w:r>
      <w:r w:rsidRPr="00FC7DEA">
        <w:rPr>
          <w:i/>
          <w:color w:val="000000" w:themeColor="text1"/>
        </w:rPr>
        <w:t>Metode Penelitian Kesehatan</w:t>
      </w:r>
      <w:r w:rsidRPr="00FC7DEA">
        <w:rPr>
          <w:color w:val="000000" w:themeColor="text1"/>
        </w:rPr>
        <w:t>. Jakarta: Rineka Cipta.</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proofErr w:type="gramStart"/>
      <w:r w:rsidRPr="00FC7DEA">
        <w:rPr>
          <w:color w:val="000000" w:themeColor="text1"/>
        </w:rPr>
        <w:t>Profil Dinas Kesehatan Provinsi Riau Republik Indonesia tahun 2012.</w:t>
      </w:r>
      <w:proofErr w:type="gramEnd"/>
      <w:r w:rsidRPr="00FC7DEA">
        <w:rPr>
          <w:color w:val="000000" w:themeColor="text1"/>
        </w:rPr>
        <w:t xml:space="preserve"> </w:t>
      </w:r>
      <w:proofErr w:type="gramStart"/>
      <w:r w:rsidRPr="00FC7DEA">
        <w:rPr>
          <w:color w:val="000000" w:themeColor="text1"/>
        </w:rPr>
        <w:t>Pekanbaru.</w:t>
      </w:r>
      <w:proofErr w:type="gramEnd"/>
    </w:p>
    <w:p w:rsidR="004243A1" w:rsidRPr="00FC7DEA" w:rsidRDefault="004243A1" w:rsidP="004243A1">
      <w:pPr>
        <w:spacing w:line="240" w:lineRule="auto"/>
        <w:rPr>
          <w:color w:val="000000" w:themeColor="text1"/>
        </w:rPr>
      </w:pPr>
    </w:p>
    <w:p w:rsidR="004243A1" w:rsidRPr="00FC7DEA" w:rsidRDefault="004243A1" w:rsidP="004243A1">
      <w:pPr>
        <w:spacing w:line="240" w:lineRule="auto"/>
        <w:ind w:left="567" w:hanging="567"/>
        <w:rPr>
          <w:color w:val="000000" w:themeColor="text1"/>
        </w:rPr>
      </w:pPr>
      <w:proofErr w:type="gramStart"/>
      <w:r w:rsidRPr="00FC7DEA">
        <w:rPr>
          <w:color w:val="000000" w:themeColor="text1"/>
        </w:rPr>
        <w:t>Sugiyono.</w:t>
      </w:r>
      <w:proofErr w:type="gramEnd"/>
      <w:r w:rsidRPr="00FC7DEA">
        <w:rPr>
          <w:color w:val="000000" w:themeColor="text1"/>
        </w:rPr>
        <w:t xml:space="preserve"> 2011. </w:t>
      </w:r>
      <w:r w:rsidRPr="00FC7DEA">
        <w:rPr>
          <w:i/>
          <w:color w:val="000000" w:themeColor="text1"/>
        </w:rPr>
        <w:t>Statistika untuk Penelitian</w:t>
      </w:r>
      <w:r w:rsidRPr="00FC7DEA">
        <w:rPr>
          <w:color w:val="000000" w:themeColor="text1"/>
        </w:rPr>
        <w:t>. Bandung: Alfabeta.</w:t>
      </w:r>
    </w:p>
    <w:p w:rsidR="004243A1" w:rsidRPr="00FC7DEA" w:rsidRDefault="004243A1" w:rsidP="004243A1">
      <w:pPr>
        <w:spacing w:line="240" w:lineRule="auto"/>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Sulistyawati, Ari. </w:t>
      </w:r>
      <w:proofErr w:type="gramStart"/>
      <w:r w:rsidRPr="00FC7DEA">
        <w:rPr>
          <w:color w:val="000000" w:themeColor="text1"/>
        </w:rPr>
        <w:t xml:space="preserve">2011. </w:t>
      </w:r>
      <w:r w:rsidRPr="00FC7DEA">
        <w:rPr>
          <w:i/>
          <w:color w:val="000000" w:themeColor="text1"/>
        </w:rPr>
        <w:t>Asuhan Kebidanan pada Masa Kehamilan</w:t>
      </w:r>
      <w:r w:rsidRPr="00FC7DEA">
        <w:rPr>
          <w:color w:val="000000" w:themeColor="text1"/>
        </w:rPr>
        <w:t>.</w:t>
      </w:r>
      <w:proofErr w:type="gramEnd"/>
      <w:r w:rsidRPr="00FC7DEA">
        <w:rPr>
          <w:color w:val="000000" w:themeColor="text1"/>
        </w:rPr>
        <w:t xml:space="preserve"> Jakarta: Salemba Medika.</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Sulistyoningsih, Haryani. 2011. </w:t>
      </w:r>
      <w:r w:rsidRPr="00FC7DEA">
        <w:rPr>
          <w:i/>
          <w:color w:val="000000" w:themeColor="text1"/>
        </w:rPr>
        <w:t>Gizi untuk Kesehatan Ibu dan Anak</w:t>
      </w:r>
      <w:r w:rsidRPr="00FC7DEA">
        <w:rPr>
          <w:color w:val="000000" w:themeColor="text1"/>
        </w:rPr>
        <w:t>. Yogyakarta: Graha Ilmu.</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proofErr w:type="gramStart"/>
      <w:r w:rsidRPr="00FC7DEA">
        <w:rPr>
          <w:color w:val="000000" w:themeColor="text1"/>
        </w:rPr>
        <w:t>Supariasa, I Dewa Nyoman.</w:t>
      </w:r>
      <w:proofErr w:type="gramEnd"/>
      <w:r w:rsidRPr="00FC7DEA">
        <w:rPr>
          <w:color w:val="000000" w:themeColor="text1"/>
        </w:rPr>
        <w:t xml:space="preserve"> </w:t>
      </w:r>
      <w:proofErr w:type="gramStart"/>
      <w:r w:rsidRPr="00FC7DEA">
        <w:rPr>
          <w:color w:val="000000" w:themeColor="text1"/>
        </w:rPr>
        <w:t xml:space="preserve">2001. </w:t>
      </w:r>
      <w:r w:rsidRPr="00FC7DEA">
        <w:rPr>
          <w:i/>
          <w:color w:val="000000" w:themeColor="text1"/>
        </w:rPr>
        <w:t>Penilaian Status Gizi</w:t>
      </w:r>
      <w:r w:rsidRPr="00FC7DEA">
        <w:rPr>
          <w:color w:val="000000" w:themeColor="text1"/>
        </w:rPr>
        <w:t>.</w:t>
      </w:r>
      <w:proofErr w:type="gramEnd"/>
      <w:r w:rsidRPr="00FC7DEA">
        <w:rPr>
          <w:color w:val="000000" w:themeColor="text1"/>
        </w:rPr>
        <w:t xml:space="preserve"> Jakarta: EGC.</w:t>
      </w:r>
    </w:p>
    <w:p w:rsidR="004243A1" w:rsidRPr="00FC7DEA" w:rsidRDefault="004243A1" w:rsidP="004243A1">
      <w:pPr>
        <w:spacing w:line="240" w:lineRule="auto"/>
        <w:ind w:left="567" w:hanging="567"/>
        <w:rPr>
          <w:color w:val="000000" w:themeColor="text1"/>
        </w:rPr>
      </w:pPr>
    </w:p>
    <w:p w:rsidR="004243A1" w:rsidRPr="00FC7DEA" w:rsidRDefault="004243A1" w:rsidP="004243A1">
      <w:pPr>
        <w:spacing w:line="240" w:lineRule="auto"/>
        <w:ind w:left="567" w:hanging="567"/>
        <w:rPr>
          <w:color w:val="000000" w:themeColor="text1"/>
        </w:rPr>
      </w:pPr>
      <w:r w:rsidRPr="00FC7DEA">
        <w:rPr>
          <w:color w:val="000000" w:themeColor="text1"/>
        </w:rPr>
        <w:t xml:space="preserve">Trihardiani, Ismi. </w:t>
      </w:r>
      <w:proofErr w:type="gramStart"/>
      <w:r w:rsidRPr="00FC7DEA">
        <w:rPr>
          <w:color w:val="000000" w:themeColor="text1"/>
        </w:rPr>
        <w:t xml:space="preserve">2011. </w:t>
      </w:r>
      <w:r w:rsidRPr="00FC7DEA">
        <w:rPr>
          <w:i/>
          <w:color w:val="000000" w:themeColor="text1"/>
        </w:rPr>
        <w:t>Faktor Risiko Kejadian Berat Badan Lahir Rendah di Wilayah Kerja Puskesmas Singkawang Timur dan Utara Kota Singkawang.</w:t>
      </w:r>
      <w:proofErr w:type="gramEnd"/>
      <w:r w:rsidRPr="00FC7DEA">
        <w:rPr>
          <w:color w:val="000000" w:themeColor="text1"/>
        </w:rPr>
        <w:t xml:space="preserve"> Program Studi Ilmu Gizi Fakultas Kedokteran Universitas Diponegoro, diakses tanggal 29 September 2013.</w:t>
      </w:r>
    </w:p>
    <w:p w:rsidR="00B929F3" w:rsidRDefault="00B929F3">
      <w:bookmarkStart w:id="0" w:name="_GoBack"/>
      <w:bookmarkEnd w:id="0"/>
    </w:p>
    <w:sectPr w:rsidR="00B929F3" w:rsidSect="00810511">
      <w:pgSz w:w="11907" w:h="16840"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14E33"/>
    <w:multiLevelType w:val="hybridMultilevel"/>
    <w:tmpl w:val="E65E4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A4D"/>
    <w:rsid w:val="004243A1"/>
    <w:rsid w:val="00474B06"/>
    <w:rsid w:val="00772A4D"/>
    <w:rsid w:val="00B92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A1"/>
    <w:pPr>
      <w:spacing w:after="0" w:line="36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A1"/>
    <w:pPr>
      <w:spacing w:after="200" w:line="276" w:lineRule="auto"/>
      <w:ind w:left="720"/>
      <w:contextualSpacing/>
      <w:jc w:val="left"/>
    </w:pPr>
    <w:rPr>
      <w:rFonts w:asciiTheme="minorHAnsi" w:eastAsiaTheme="minorHAnsi" w:hAnsiTheme="minorHAnsi" w:cstheme="minorBidi"/>
      <w:sz w:val="22"/>
      <w:szCs w:val="22"/>
    </w:rPr>
  </w:style>
  <w:style w:type="paragraph" w:styleId="Title">
    <w:name w:val="Title"/>
    <w:basedOn w:val="Normal"/>
    <w:link w:val="TitleChar"/>
    <w:qFormat/>
    <w:rsid w:val="004243A1"/>
    <w:pPr>
      <w:spacing w:line="240" w:lineRule="auto"/>
      <w:jc w:val="center"/>
    </w:pPr>
    <w:rPr>
      <w:rFonts w:eastAsia="Times New Roman"/>
      <w:b/>
      <w:szCs w:val="20"/>
    </w:rPr>
  </w:style>
  <w:style w:type="character" w:customStyle="1" w:styleId="TitleChar">
    <w:name w:val="Title Char"/>
    <w:basedOn w:val="DefaultParagraphFont"/>
    <w:link w:val="Title"/>
    <w:rsid w:val="004243A1"/>
    <w:rPr>
      <w:rFonts w:ascii="Times New Roman" w:eastAsia="Times New Roman" w:hAnsi="Times New Roman" w:cs="Times New Roman"/>
      <w:b/>
      <w:sz w:val="24"/>
      <w:szCs w:val="20"/>
      <w:lang w:val="en-US"/>
    </w:rPr>
  </w:style>
  <w:style w:type="character" w:customStyle="1" w:styleId="st">
    <w:name w:val="st"/>
    <w:rsid w:val="004243A1"/>
  </w:style>
  <w:style w:type="paragraph" w:styleId="NoSpacing">
    <w:name w:val="No Spacing"/>
    <w:uiPriority w:val="1"/>
    <w:qFormat/>
    <w:rsid w:val="004243A1"/>
    <w:pPr>
      <w:spacing w:after="0" w:line="240" w:lineRule="auto"/>
      <w:jc w:val="both"/>
    </w:pPr>
    <w:rPr>
      <w:rFonts w:ascii="Times New Roman" w:eastAsia="Calibri"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A1"/>
    <w:pPr>
      <w:spacing w:after="0" w:line="360" w:lineRule="auto"/>
      <w:jc w:val="both"/>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3A1"/>
    <w:pPr>
      <w:spacing w:after="200" w:line="276" w:lineRule="auto"/>
      <w:ind w:left="720"/>
      <w:contextualSpacing/>
      <w:jc w:val="left"/>
    </w:pPr>
    <w:rPr>
      <w:rFonts w:asciiTheme="minorHAnsi" w:eastAsiaTheme="minorHAnsi" w:hAnsiTheme="minorHAnsi" w:cstheme="minorBidi"/>
      <w:sz w:val="22"/>
      <w:szCs w:val="22"/>
    </w:rPr>
  </w:style>
  <w:style w:type="paragraph" w:styleId="Title">
    <w:name w:val="Title"/>
    <w:basedOn w:val="Normal"/>
    <w:link w:val="TitleChar"/>
    <w:qFormat/>
    <w:rsid w:val="004243A1"/>
    <w:pPr>
      <w:spacing w:line="240" w:lineRule="auto"/>
      <w:jc w:val="center"/>
    </w:pPr>
    <w:rPr>
      <w:rFonts w:eastAsia="Times New Roman"/>
      <w:b/>
      <w:szCs w:val="20"/>
    </w:rPr>
  </w:style>
  <w:style w:type="character" w:customStyle="1" w:styleId="TitleChar">
    <w:name w:val="Title Char"/>
    <w:basedOn w:val="DefaultParagraphFont"/>
    <w:link w:val="Title"/>
    <w:rsid w:val="004243A1"/>
    <w:rPr>
      <w:rFonts w:ascii="Times New Roman" w:eastAsia="Times New Roman" w:hAnsi="Times New Roman" w:cs="Times New Roman"/>
      <w:b/>
      <w:sz w:val="24"/>
      <w:szCs w:val="20"/>
      <w:lang w:val="en-US"/>
    </w:rPr>
  </w:style>
  <w:style w:type="character" w:customStyle="1" w:styleId="st">
    <w:name w:val="st"/>
    <w:rsid w:val="004243A1"/>
  </w:style>
  <w:style w:type="paragraph" w:styleId="NoSpacing">
    <w:name w:val="No Spacing"/>
    <w:uiPriority w:val="1"/>
    <w:qFormat/>
    <w:rsid w:val="004243A1"/>
    <w:pPr>
      <w:spacing w:after="0" w:line="240" w:lineRule="auto"/>
      <w:jc w:val="both"/>
    </w:pPr>
    <w:rPr>
      <w:rFonts w:ascii="Times New Roman" w:eastAsia="Calibri"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2066</Words>
  <Characters>11781</Characters>
  <Application>Microsoft Office Word</Application>
  <DocSecurity>0</DocSecurity>
  <Lines>98</Lines>
  <Paragraphs>27</Paragraphs>
  <ScaleCrop>false</ScaleCrop>
  <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2018-10-05T08:59:00Z</dcterms:created>
  <dcterms:modified xsi:type="dcterms:W3CDTF">2018-10-05T09:14:00Z</dcterms:modified>
</cp:coreProperties>
</file>