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Bdr>
          <w:top w:val="none" w:color="auto" w:sz="0" w:space="0"/>
          <w:left w:val="none" w:color="auto" w:sz="0" w:space="0"/>
          <w:bottom w:val="none" w:color="auto" w:sz="0" w:space="0"/>
          <w:right w:val="none" w:color="auto" w:sz="0" w:space="0"/>
          <w:between w:val="none" w:color="auto" w:sz="0" w:space="0"/>
        </w:pBdr>
        <w:jc w:val="center"/>
        <w:rPr>
          <w:b/>
          <w:sz w:val="28"/>
          <w:szCs w:val="28"/>
        </w:rPr>
      </w:pPr>
      <w:r>
        <w:rPr>
          <w:b/>
          <w:sz w:val="28"/>
          <w:szCs w:val="28"/>
        </w:rPr>
        <w:t xml:space="preserve">PENINGKATAN KAPASITAS KADER POSYANDU DALAM  PEMBUATAN MAKANAN TAMBAHAN (PMT) BERBAHAN  DASAR PANGAN LOKAL SEBAGAI UPAYA PENCEGAHAN  STUNTING DI DESA RANAH SINGKUANG  </w:t>
      </w:r>
    </w:p>
    <w:p>
      <w:pPr>
        <w:pBdr>
          <w:top w:val="none" w:color="auto" w:sz="0" w:space="0"/>
          <w:left w:val="none" w:color="auto" w:sz="0" w:space="0"/>
          <w:bottom w:val="none" w:color="auto" w:sz="0" w:space="0"/>
          <w:right w:val="none" w:color="auto" w:sz="0" w:space="0"/>
          <w:between w:val="none" w:color="auto" w:sz="0" w:space="0"/>
        </w:pBdr>
        <w:jc w:val="center"/>
        <w:rPr>
          <w:b/>
          <w:color w:val="000000"/>
          <w:sz w:val="28"/>
          <w:szCs w:val="28"/>
        </w:rPr>
      </w:pPr>
      <w:r>
        <w:rPr>
          <w:b/>
          <w:i/>
          <w:iCs/>
          <w:sz w:val="28"/>
          <w:szCs w:val="28"/>
        </w:rPr>
        <w:t>Increasing The Capacity Of Posyandu Cadres In Making Additional Food (Pmt) Based On Local Food As An Effort To Prevent Stunting In Ranah Singkuang Village</w:t>
      </w:r>
    </w:p>
    <w:p>
      <w:pPr>
        <w:rPr>
          <w:sz w:val="20"/>
          <w:szCs w:val="20"/>
        </w:rPr>
      </w:pPr>
    </w:p>
    <w:p>
      <w:pPr>
        <w:pBdr>
          <w:top w:val="none" w:color="auto" w:sz="0" w:space="0"/>
          <w:left w:val="none" w:color="auto" w:sz="0" w:space="0"/>
          <w:bottom w:val="none" w:color="auto" w:sz="0" w:space="0"/>
          <w:right w:val="none" w:color="auto" w:sz="0" w:space="0"/>
          <w:between w:val="none" w:color="auto" w:sz="0" w:space="0"/>
        </w:pBdr>
        <w:jc w:val="center"/>
        <w:rPr>
          <w:b/>
          <w:color w:val="000000"/>
        </w:rPr>
      </w:pPr>
      <w:r>
        <w:rPr>
          <w:b/>
          <w:color w:val="000000"/>
        </w:rPr>
        <w:t xml:space="preserve">Hesti Atasasih, </w:t>
      </w:r>
      <w:r>
        <w:rPr>
          <w:b/>
          <w:bCs/>
          <w:color w:val="000000"/>
          <w:lang w:val="pt-BR"/>
        </w:rPr>
        <w:t>Irma Susan Paramita</w:t>
      </w:r>
      <w:r>
        <w:rPr>
          <w:b/>
          <w:bCs/>
          <w:color w:val="000000"/>
          <w:lang w:val="id-ID"/>
        </w:rPr>
        <w:t xml:space="preserve">, </w:t>
      </w:r>
      <w:r>
        <w:rPr>
          <w:b/>
          <w:bCs/>
          <w:color w:val="000000"/>
          <w:lang w:val="pt-BR"/>
        </w:rPr>
        <w:t>Erni Forwaty</w:t>
      </w:r>
      <w:r>
        <w:rPr>
          <w:b/>
          <w:color w:val="000000"/>
        </w:rPr>
        <w:t xml:space="preserve">  </w:t>
      </w:r>
    </w:p>
    <w:p>
      <w:pPr>
        <w:jc w:val="center"/>
        <w:rPr>
          <w:i/>
        </w:rPr>
      </w:pPr>
    </w:p>
    <w:p>
      <w:pPr>
        <w:jc w:val="center"/>
        <w:rPr>
          <w:i/>
          <w:sz w:val="20"/>
          <w:szCs w:val="20"/>
        </w:rPr>
      </w:pPr>
      <w:r>
        <w:rPr>
          <w:i/>
          <w:sz w:val="20"/>
          <w:szCs w:val="20"/>
        </w:rPr>
        <w:t>Prodi DIII Gizi, Jurusan Gizi, Poltekkes Kemenkes Riau, Indonesia</w:t>
      </w:r>
    </w:p>
    <w:p>
      <w:pPr>
        <w:jc w:val="center"/>
        <w:rPr>
          <w:sz w:val="20"/>
          <w:szCs w:val="20"/>
        </w:rPr>
      </w:pPr>
      <w:r>
        <w:fldChar w:fldCharType="begin"/>
      </w:r>
      <w:r>
        <w:instrText xml:space="preserve"> HYPERLINK "mailto:hesti@pkr.ac.id" </w:instrText>
      </w:r>
      <w:r>
        <w:fldChar w:fldCharType="separate"/>
      </w:r>
      <w:r>
        <w:rPr>
          <w:rStyle w:val="18"/>
          <w:sz w:val="20"/>
          <w:szCs w:val="20"/>
        </w:rPr>
        <w:t>hesti@pkr.ac.id</w:t>
      </w:r>
      <w:r>
        <w:rPr>
          <w:rStyle w:val="18"/>
          <w:sz w:val="20"/>
          <w:szCs w:val="20"/>
        </w:rPr>
        <w:fldChar w:fldCharType="end"/>
      </w:r>
    </w:p>
    <w:p>
      <w:pPr>
        <w:jc w:val="center"/>
        <w:rPr>
          <w:sz w:val="20"/>
          <w:szCs w:val="20"/>
        </w:rPr>
      </w:pPr>
    </w:p>
    <w:p>
      <w:pPr>
        <w:pBdr>
          <w:top w:val="none" w:color="auto" w:sz="0" w:space="0"/>
          <w:left w:val="none" w:color="auto" w:sz="0" w:space="0"/>
          <w:bottom w:val="none" w:color="auto" w:sz="0" w:space="0"/>
          <w:right w:val="none" w:color="auto" w:sz="0" w:space="0"/>
          <w:between w:val="none" w:color="auto" w:sz="0" w:space="0"/>
        </w:pBdr>
        <w:jc w:val="center"/>
        <w:rPr>
          <w:b/>
          <w:color w:val="000000"/>
        </w:rPr>
      </w:pPr>
      <w:r>
        <w:rPr>
          <w:b/>
          <w:color w:val="000000"/>
        </w:rPr>
        <w:t xml:space="preserve">Abstrak </w:t>
      </w:r>
    </w:p>
    <w:p>
      <w:pPr>
        <w:rPr>
          <w:sz w:val="20"/>
          <w:szCs w:val="20"/>
        </w:rPr>
      </w:pPr>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iCs/>
          <w:color w:val="000000"/>
          <w:sz w:val="20"/>
          <w:szCs w:val="20"/>
        </w:rPr>
      </w:pPr>
      <w:r>
        <w:rPr>
          <w:i/>
          <w:iCs/>
          <w:color w:val="000000"/>
          <w:sz w:val="20"/>
          <w:szCs w:val="20"/>
        </w:rPr>
        <w:t>Gizi merupakan salah satu  faktor yang mempengaruhi kualitas SDM, Periode 1000 Hari Pertama Kehidupan (HPK) dapat menentukan kualitas hidup di masa depan. Penurunan stunting adalah agenda prioritas pembangunan kesehatan. Asupan yang baik dapat meningkatkan status gizi anak diantaranya dengan penambahan PMT. Tujuan dari pengabmas adalah peningkatan kapasitas kader dalam Pembuatan Makanan  Tambahan (PMT) berbahan dasar pangan lokal sebagai upaya pencegahan  stunting di desa ranah singkuang. Metode yang digunakan adalah penyuluhan dan demonstrasi. Hasil evaluasi terjadi peningkatan sebesar 15 poin yaitu dari 65 menjadi 80. Hal ini menunjukkan bahwa penyuluhan dan demonstrasi dapat meningkatkan pengetahuan tentang PMT. PMT berbahan dasar pangan lokal telah diberikan pada dua posyandu balita di desa Ranah Singkuang. dan telah dimasukan kedalam siklus menu makanan tambahan balita yang akan diberikan  kepada balita di posyandu. Pengabdian kepada Masyarakat telah memberikan kontribusi yang nyata kepada masyarakat setempat, tercermin dari terlaksananya kegiatan dengan baik dan penerapan hasil kegiatan setelah dilakukan pengabmas.</w:t>
      </w:r>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color w:val="000000"/>
          <w:sz w:val="20"/>
          <w:szCs w:val="20"/>
        </w:rPr>
      </w:pPr>
    </w:p>
    <w:p>
      <w:pPr>
        <w:rPr>
          <w:sz w:val="20"/>
          <w:szCs w:val="20"/>
        </w:rPr>
      </w:pPr>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Balita, PMT, Stunting</w:t>
      </w:r>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color w:val="000000"/>
        </w:rPr>
      </w:pPr>
    </w:p>
    <w:p>
      <w:pPr>
        <w:pBdr>
          <w:top w:val="none" w:color="auto" w:sz="0" w:space="0"/>
          <w:left w:val="none" w:color="auto" w:sz="0" w:space="0"/>
          <w:bottom w:val="none" w:color="auto" w:sz="0" w:space="0"/>
          <w:right w:val="none" w:color="auto" w:sz="0" w:space="0"/>
          <w:between w:val="none" w:color="auto" w:sz="0" w:space="0"/>
        </w:pBdr>
        <w:jc w:val="center"/>
        <w:rPr>
          <w:b/>
          <w:color w:val="000000"/>
        </w:rPr>
      </w:pPr>
      <w:r>
        <w:rPr>
          <w:b/>
          <w:color w:val="000000"/>
        </w:rPr>
        <w:t>Abstract</w:t>
      </w:r>
    </w:p>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color w:val="000000"/>
          <w:sz w:val="20"/>
          <w:szCs w:val="20"/>
        </w:rPr>
      </w:pPr>
      <w:r>
        <w:rPr>
          <w:i/>
          <w:color w:val="000000"/>
          <w:sz w:val="20"/>
          <w:szCs w:val="20"/>
        </w:rPr>
        <w:t>Nutrition is one of the factors that influences the quality of human resources. The First 1000 Days of Life (HPK) period can determine the quality of life in the future. Reducing stunting is a priority health development agenda. Good intake can improve children's nutritional status, including by adding PMT. The aim of the community service is to increase the capacity of cadres in making additional food (PMT) based on local food as an effort to prevent stunting in the Singkuang village. The methods used are counseling and demonstration. The evaluation results showed an increase of 2.2 points, namely from 65 to 87. This shows that counseling and demonstrations can increase knowledge about PMT. PMT made from local food has been provided to two toddler posyandu in Ranah Singkuang village. and has been included in the supplementary food menu cycle for toddlers that will be given to toddlers at posyandu. Community Service has made a real contribution to the local community, reflected in the implementation of activities well and the implementation of the results of activities after community service has been carried out.</w:t>
      </w:r>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color w:val="000000"/>
          <w:sz w:val="20"/>
          <w:szCs w:val="20"/>
        </w:rPr>
      </w:pPr>
    </w:p>
    <w:p>
      <w:pPr>
        <w:keepNext/>
        <w:pBdr>
          <w:top w:val="none" w:color="auto" w:sz="0" w:space="0"/>
          <w:left w:val="none" w:color="auto" w:sz="0" w:space="0"/>
          <w:bottom w:val="none" w:color="auto" w:sz="0" w:space="0"/>
          <w:right w:val="none" w:color="auto" w:sz="0" w:space="0"/>
          <w:between w:val="none" w:color="auto" w:sz="0" w:space="0"/>
        </w:pBdr>
        <w:ind w:left="567" w:right="567" w:hanging="567"/>
        <w:jc w:val="both"/>
        <w:rPr>
          <w:i/>
          <w:color w:val="000000"/>
        </w:rPr>
      </w:pPr>
      <w:r>
        <w:rPr>
          <w:b/>
          <w:color w:val="000000"/>
          <w:sz w:val="20"/>
          <w:szCs w:val="20"/>
        </w:rPr>
        <w:t>Keywords</w:t>
      </w:r>
      <w:r>
        <w:rPr>
          <w:b/>
          <w:i/>
          <w:color w:val="000000"/>
          <w:sz w:val="20"/>
          <w:szCs w:val="20"/>
        </w:rPr>
        <w:t>:</w:t>
      </w:r>
      <w:r>
        <w:rPr>
          <w:i/>
          <w:color w:val="000000"/>
          <w:sz w:val="20"/>
          <w:szCs w:val="20"/>
        </w:rPr>
        <w:t xml:space="preserve"> Toddlers, PMT, Stunting</w:t>
      </w:r>
    </w:p>
    <w:p/>
    <w:p/>
    <w:p>
      <w:pPr>
        <w:sectPr>
          <w:headerReference r:id="rId3" w:type="default"/>
          <w:footerReference r:id="rId4" w:type="default"/>
          <w:pgSz w:w="12240" w:h="15840"/>
          <w:pgMar w:top="1701" w:right="1134" w:bottom="1134" w:left="1418" w:header="720" w:footer="720" w:gutter="0"/>
          <w:pgNumType w:start="1"/>
          <w:cols w:space="720" w:num="1"/>
        </w:sectPr>
      </w:pPr>
    </w:p>
    <w:p>
      <w:pPr>
        <w:pStyle w:val="2"/>
        <w:numPr>
          <w:ilvl w:val="0"/>
          <w:numId w:val="0"/>
        </w:numPr>
        <w:tabs>
          <w:tab w:val="left" w:pos="0"/>
        </w:tabs>
        <w:ind w:left="720" w:hanging="360"/>
      </w:pPr>
    </w:p>
    <w:p>
      <w:pPr>
        <w:rPr>
          <w:lang w:eastAsia="ar-SA"/>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color w:val="000000"/>
          <w:sz w:val="20"/>
          <w:szCs w:val="20"/>
        </w:rPr>
      </w:pPr>
      <w:r>
        <w:rPr>
          <w:b/>
          <w:color w:val="000000"/>
          <w:sz w:val="20"/>
          <w:szCs w:val="20"/>
        </w:rPr>
        <w:t>PENDAHULUAN</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 xml:space="preserve">Stunting termasuk salah satu masalah gizi utama pada balita di Indonesia. Data Riset kesehatan dasar (Riskesdas) tahun 2013 mencatat bahwa prevalensi stunting secara nasional mencapai 37,2% , dengan prevalensi  tingkat pendek sebesar 18,0% dan tingkat sangat pendek sebesar 19,2%. Stunting menjadi perhatian serius dalam masalah kesehatan masyarakat jika prevalensi stunting berada  dalam kisaran 30-39%. Berdasarkan data yang didapatkan dari Riskesdas 2018 ditemukan bahwa angka stunting mencapai 30,8%. Hal ini menandakan bahwa stunting masih menjadi  masalah kesehatan masyarakat di Indonesia (Kemenkes, 2018). </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 xml:space="preserve">Data Survei Status Gizi Balita Indonesia menunjukkan bahwa prevalensi stunting di Provinsi Riau pada tahun 2019 sebesar 23,7%, data ini  menunjukkan terjadinya penurunan dari tahun sebelumnya, pada tahun 2018 prevalensi stunting sebesar 27,4%. Namun, menurut WHO angka prevalensi ini masih menjadi masalah kesehatan hal ini dikarenakan angka prevalensi masih diatas 20% (Kementerian Kesehatan RI, 2019). </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Periode 1000 Hari Pertama Kehidupan (HPK) merupakan periode sensitif  yang menentukan kualitas hidup di masa mendatang. Salah satu aspek yang menjadi prioritas dalam rencana pembangunan kesehatan adalah perbaikan gizi, khususnya dalam mengurangi masalah stunting. Perbaikan gizi ini dapat dilakukan dengan menerapkan pendekatan continuum of care, yang difokuskan pada periode 1000 HPK yaitu mulai dari masa kehamilan hingga  anak  berusia 2 tahun (Devi et al., 2022).</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 xml:space="preserve">Status gizi merupakan parameter kesehatan yang sangat penting bagi balita karena anak di bawah usia lima tahun termasuk kelompok yang rentan terhadap masalah kesehatan dan gizi. Status gizi dapat dilakukan pengukuran secara antropometri dan dapat dikategorikan berdasarkan standar baku WHO dengan indeks BB/U (Berat  Badan/Umur), TB/U (Tinggi Badan/Umur) dan BB/TB (Berat Badan/Tinggi  Badan) (Khoeroh, 2017). </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Faktor langsung terjadinya stunting adalah asupan makanan. Pemenuhan gizi merupakan hak setiap anak, upaya ini ditujukan untuk mempersiapkan generasi  akan datang yang sehat, cerdas dan berkualitas serta untuk menurunkan angka kematian bayi dan anak (Undang-Undang Nomor 36 Tahun 2009 Tentang  Kesehatan). Upaya pemerintah Indonesia untuk mengatasi masalah gizi pada balita belum sepenuhnya optimal atau berhasil mengurangi angka stunting pada balita. Salah satu program pemerintah dalam penanggulangannya adalah dengan cara Pemberian Makanan Tambahan (PMT) bagi balita. Kementerian kesehatan mengimplementasikan kebijakan yang luas,, mencakup tindakan promosi/edukasi, pencegahan dan penanggulangan gizi buruk pada balita. Tindakan pencegahan dapat dilakukan melalui pemantauan pertumbuhan diposyandu.  Penanggulangan balita stunting dilakukan dengan cara pemberian makanan  tambahan (PMT) (Kemenkes, 2018).</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 xml:space="preserve">Menurut Juhartini (2016), PMT berbasis Bahan Makanan Campuran (BMC) yang fungsional adalah jenis  makanan yang tidak hanya memberikan manfaat nutrisi yang umum terdapat pada makanan, tetapi juga memberikan dampak positif bagi kesehatan. Makanan ini umumnya dibuat dengan mempertimbangkan menu tradisional daerah dan disesuaikan dengan kondisi setempat. PMT balita yang telah diberikan pemerintah kepada masyarakat terdiri dari  2 yaitu PMT penyuluhan dan PMT pemulihan, jenis PMT pemulihan yang  diberikan juga terdiri dari dua jenis yaitu makanan tambahan pabrikan berupa  biscuit dan makanan tambahan hasil olahan dari kader .  </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PMT yang diberikan bisa merupakan formula modifikasi yaitu formula yang tinggi energi dan protein, terdiri dari bahan yang mudah didapatkan oleh masyarakat dengan harga yang terjangkau (Noer ER, 2014). Dalam</w:t>
      </w:r>
      <w:r>
        <w:rPr>
          <w:rFonts w:hint="default"/>
          <w:color w:val="000000"/>
          <w:sz w:val="20"/>
          <w:szCs w:val="20"/>
          <w:lang w:val="en-US"/>
        </w:rPr>
        <w:t xml:space="preserve"> </w:t>
      </w:r>
      <w:r>
        <w:rPr>
          <w:color w:val="000000"/>
          <w:sz w:val="20"/>
          <w:szCs w:val="20"/>
        </w:rPr>
        <w:t xml:space="preserve">meningkatkan nilai gizi, bahan-bahan ini dapat dicampur dengan menggunakan bahan pangan lokal seperti ikan patin yang termasuk salah satu bahan pangan bernilai gizi tinggi dan bahan pangan fungsional yaitu tempe.  </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Ikan Patin adalah salah satu komoditas unggulan di Indonesia dan produksi  ikan patin di Riau juga tinggi dibandingkan dengan jenis ikan yang lain. Hasil  analisis proksimat menunjukkan bahwa dalam daging ikan patin terdapat kadar air 75,75% hingga 79,42 %,  kadar protein 12,94% hingga 7,59%, kadar lemak 1,81% hingga 6,57% , dan kadar abu  0,16% hingga 0,23%. Nutrisi yang cukup tinggi dalam daging ikan patin adalah protein dan asam amino esensial (Wahyuningtyas et al., 2020).</w:t>
      </w:r>
    </w:p>
    <w:p>
      <w:pPr>
        <w:keepNext w:val="0"/>
        <w:keepLines w:val="0"/>
        <w:widowControl/>
        <w:suppressLineNumbers w:val="0"/>
        <w:shd w:val="clear" w:fill="FFFFFF"/>
        <w:spacing w:line="14" w:lineRule="atLeast"/>
        <w:ind w:left="0" w:firstLine="720" w:firstLineChars="0"/>
        <w:jc w:val="both"/>
        <w:rPr>
          <w:color w:val="000000"/>
          <w:sz w:val="20"/>
          <w:szCs w:val="20"/>
        </w:rPr>
      </w:pPr>
      <w:r>
        <w:rPr>
          <w:color w:val="000000"/>
          <w:sz w:val="20"/>
          <w:szCs w:val="20"/>
        </w:rPr>
        <w:t xml:space="preserve">Indonesia termasuk negara produsen tempe terbesar di dunia dan merupakan  pasar kedelai terbesar di Asia. Sebanyak 50% dari konsumsi kedelai Indonesia diolah menjadi tempe. </w:t>
      </w:r>
      <w:r>
        <w:rPr>
          <w:rFonts w:hint="default"/>
          <w:color w:val="000000"/>
          <w:sz w:val="20"/>
          <w:szCs w:val="20"/>
          <w:lang w:val="en-US"/>
        </w:rPr>
        <w:t xml:space="preserve">Tempe sangat digemari oleh masyarakat karena harga yang murah dan kandungan protein nabati yang tinggi dan mudah dicerna.  Setiap 100 g tempe mengandung energi 201 kilokalori, protein 20,8 g, lemak 8,8 g, serat 1,4 g, kalisium 155 mg, fosfor 326 mg,  serta zat besi 4 mg (Kemenkes,  2018).  </w:t>
      </w:r>
      <w:r>
        <w:rPr>
          <w:color w:val="000000"/>
          <w:sz w:val="20"/>
          <w:szCs w:val="20"/>
        </w:rPr>
        <w:t>Nugget, dimsum, risol dan pastel merupakan jenis- jenis  makanan ringan yang bisa dijadikan makanan PMT balita .</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 xml:space="preserve">Nilawati (2016) mengatakan bahwa terdapat hubungan yang signifikan antara  tingkat kecukupan energi dan protein dengan kasus gizi kurang pada balita.  Selain itu, konseling gizi juga memiliki potensi untuk meningkatkan pemahaman dan  pola asuh anak, khususnya dalam praktik pemberian makanan anak. Di Desa Ranah Singkuang ada 2 posyandu dengan jumlah kader 17 orang, Berdasarkan hasil observasi, kader posyandu yang ada di Desa Ranah Singkuang belum pernah mendapatkan pelatihan tentang peningkatan kapasitas kader terkait dengan Pemberian Makanan Tambahan berbahan dasar pangan lokal untuk balita.  </w:t>
      </w:r>
    </w:p>
    <w:p>
      <w:pPr>
        <w:pBdr>
          <w:top w:val="none" w:color="auto" w:sz="0" w:space="0"/>
          <w:left w:val="none" w:color="auto" w:sz="0" w:space="0"/>
          <w:bottom w:val="none" w:color="auto" w:sz="0" w:space="0"/>
          <w:right w:val="none" w:color="auto" w:sz="0" w:space="0"/>
          <w:between w:val="none" w:color="auto" w:sz="0" w:space="0"/>
        </w:pBdr>
        <w:ind w:firstLine="720"/>
        <w:jc w:val="both"/>
        <w:rPr>
          <w:color w:val="000000"/>
          <w:sz w:val="20"/>
          <w:szCs w:val="20"/>
        </w:rPr>
      </w:pPr>
      <w:r>
        <w:rPr>
          <w:color w:val="000000"/>
          <w:sz w:val="20"/>
          <w:szCs w:val="20"/>
        </w:rPr>
        <w:t>Sehubungan dengan hal tersebut dirasa perlu dilakukan kegiatan untuk para  kader sebagai pengerak posyandu dalam  pencegahan stunting  di Kecamatan Kampar (Desa Ranah Singkuang), agar dapat meningkatkan kompetensi kader dalam mengedukasi dan mendampingi ibu balita  dalam pemberian makanan tambahan. Berdasarkan analisis situasi diatas maka tim pengabmas tertarik  untuk melakukan kegiatan  dengan judul " Peningkatan Kapasitas Kader Terkait Dengan Pemberian Makanan Tambahan Berbahan Dasar Pangan Lokal Sebagai Upaya Pencegahan Stunting.</w:t>
      </w:r>
    </w:p>
    <w:p>
      <w:pPr>
        <w:pBdr>
          <w:top w:val="none" w:color="auto" w:sz="0" w:space="0"/>
          <w:left w:val="none" w:color="auto" w:sz="0" w:space="0"/>
          <w:bottom w:val="none" w:color="auto" w:sz="0" w:space="0"/>
          <w:right w:val="none" w:color="auto" w:sz="0" w:space="0"/>
          <w:between w:val="none" w:color="auto" w:sz="0" w:space="0"/>
        </w:pBdr>
        <w:jc w:val="both"/>
        <w:rPr>
          <w:b/>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color w:val="000000"/>
          <w:sz w:val="20"/>
          <w:szCs w:val="20"/>
        </w:rPr>
      </w:pPr>
      <w:r>
        <w:rPr>
          <w:b/>
          <w:color w:val="000000"/>
          <w:sz w:val="20"/>
          <w:szCs w:val="20"/>
        </w:rPr>
        <w:t>BAHAN DAN METODE</w:t>
      </w:r>
    </w:p>
    <w:p>
      <w:pPr>
        <w:ind w:firstLine="709"/>
        <w:contextualSpacing/>
        <w:jc w:val="both"/>
        <w:rPr>
          <w:sz w:val="20"/>
          <w:szCs w:val="20"/>
        </w:rPr>
      </w:pPr>
      <w:r>
        <w:rPr>
          <w:sz w:val="20"/>
          <w:szCs w:val="20"/>
          <w:lang w:val="id-ID"/>
        </w:rPr>
        <w:t xml:space="preserve">Metode pelaksanaan pengabdian masyarakat yang akan dilaksanakan di Desa Ranah Singkuang, memiliki berbagai tahapan pelaksanaan. </w:t>
      </w:r>
      <w:r>
        <w:rPr>
          <w:sz w:val="20"/>
          <w:szCs w:val="20"/>
        </w:rPr>
        <w:t>Proses  kegiatan yang akan dilaksanakan telah terstruktur dan ditata secara sistematis. Berikut merupakan gambaran proses kegiatannya.</w:t>
      </w:r>
    </w:p>
    <w:p>
      <w:pPr>
        <w:ind w:firstLine="709"/>
        <w:contextualSpacing/>
        <w:jc w:val="both"/>
        <w:rPr>
          <w:sz w:val="20"/>
          <w:szCs w:val="20"/>
        </w:rPr>
      </w:pPr>
    </w:p>
    <w:p>
      <w:pPr>
        <w:spacing w:after="200"/>
        <w:ind w:left="720"/>
        <w:contextualSpacing/>
        <w:rPr>
          <w:sz w:val="20"/>
          <w:szCs w:val="20"/>
        </w:rPr>
      </w:pPr>
      <w:r>
        <w:rPr>
          <w:sz w:val="20"/>
          <w:szCs w:val="20"/>
        </w:rPr>
        <mc:AlternateContent>
          <mc:Choice Requires="wps">
            <w:drawing>
              <wp:anchor distT="0" distB="0" distL="114300" distR="114300" simplePos="0" relativeHeight="251659264" behindDoc="0" locked="0" layoutInCell="1" allowOverlap="1">
                <wp:simplePos x="0" y="0"/>
                <wp:positionH relativeFrom="column">
                  <wp:posOffset>3715385</wp:posOffset>
                </wp:positionH>
                <wp:positionV relativeFrom="paragraph">
                  <wp:posOffset>6985</wp:posOffset>
                </wp:positionV>
                <wp:extent cx="1303020" cy="292735"/>
                <wp:effectExtent l="0" t="0" r="11430" b="12700"/>
                <wp:wrapNone/>
                <wp:docPr id="49" name="Flowchart: Process 1"/>
                <wp:cNvGraphicFramePr/>
                <a:graphic xmlns:a="http://schemas.openxmlformats.org/drawingml/2006/main">
                  <a:graphicData uri="http://schemas.microsoft.com/office/word/2010/wordprocessingShape">
                    <wps:wsp>
                      <wps:cNvSpPr/>
                      <wps:spPr>
                        <a:xfrm>
                          <a:off x="0" y="0"/>
                          <a:ext cx="1303020" cy="292608"/>
                        </a:xfrm>
                        <a:prstGeom prst="flowChartProcess">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 xml:space="preserve">Kegiatan II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rocess 1" o:spid="_x0000_s1026" o:spt="109" type="#_x0000_t109" style="position:absolute;left:0pt;margin-left:292.55pt;margin-top:0.55pt;height:23.05pt;width:102.6pt;z-index:251659264;v-text-anchor:middle;mso-width-relative:page;mso-height-relative:page;" fillcolor="#FFFFFF" filled="t" stroked="t" coordsize="21600,21600" o:gfxdata="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Hcx2rYAAAACAEAAA8AAAAAAAAAAQAgAAAA&#10;IgAAAGRycy9kb3ducmV2LnhtbFBLAQIUABQAAAAIAIdO4kAIOwTPfQIAAB8FAAAOAAAAAAAAAAEA&#10;IAAAACcBAABkcnMvZTJvRG9jLnhtbFBLBQYAAAAABgAGAFkBAAAWBgAAAAA=&#10;">
                <v:fill on="t" focussize="0,0"/>
                <v:stroke weight="2pt" color="#F79646" joinstyle="round"/>
                <v:imagedata o:title=""/>
                <o:lock v:ext="edit" aspectratio="f"/>
                <v:textbox>
                  <w:txbxContent>
                    <w:p>
                      <w:pPr>
                        <w:jc w:val="center"/>
                        <w:rPr>
                          <w:sz w:val="20"/>
                          <w:szCs w:val="20"/>
                        </w:rPr>
                      </w:pPr>
                      <w:r>
                        <w:rPr>
                          <w:sz w:val="20"/>
                          <w:szCs w:val="20"/>
                        </w:rPr>
                        <w:t xml:space="preserve">Kegiatan II  </w:t>
                      </w:r>
                    </w:p>
                  </w:txbxContent>
                </v:textbox>
              </v:shape>
            </w:pict>
          </mc:Fallback>
        </mc:AlternateContent>
      </w:r>
      <w:r>
        <w:rPr>
          <w:sz w:val="20"/>
          <w:szCs w:val="20"/>
        </w:rPr>
        <mc:AlternateContent>
          <mc:Choice Requires="wps">
            <w:drawing>
              <wp:anchor distT="0" distB="0" distL="114300" distR="114300" simplePos="0" relativeHeight="251670528" behindDoc="0" locked="0" layoutInCell="1" allowOverlap="1">
                <wp:simplePos x="0" y="0"/>
                <wp:positionH relativeFrom="column">
                  <wp:posOffset>2214245</wp:posOffset>
                </wp:positionH>
                <wp:positionV relativeFrom="paragraph">
                  <wp:posOffset>16510</wp:posOffset>
                </wp:positionV>
                <wp:extent cx="1303020" cy="295275"/>
                <wp:effectExtent l="0" t="0" r="11430" b="28575"/>
                <wp:wrapNone/>
                <wp:docPr id="48" name="Text Box 7"/>
                <wp:cNvGraphicFramePr/>
                <a:graphic xmlns:a="http://schemas.openxmlformats.org/drawingml/2006/main">
                  <a:graphicData uri="http://schemas.microsoft.com/office/word/2010/wordprocessingShape">
                    <wps:wsp>
                      <wps:cNvSpPr txBox="1"/>
                      <wps:spPr>
                        <a:xfrm>
                          <a:off x="0" y="0"/>
                          <a:ext cx="1303020" cy="295275"/>
                        </a:xfrm>
                        <a:prstGeom prst="rect">
                          <a:avLst/>
                        </a:prstGeom>
                        <a:solidFill>
                          <a:sysClr val="window" lastClr="FFFFFF"/>
                        </a:solidFill>
                        <a:ln w="25400" cap="flat" cmpd="sng" algn="ctr">
                          <a:solidFill>
                            <a:srgbClr val="F79646"/>
                          </a:solidFill>
                          <a:prstDash val="solid"/>
                        </a:ln>
                        <a:effectLst/>
                      </wps:spPr>
                      <wps:txbx>
                        <w:txbxContent>
                          <w:p>
                            <w:pPr>
                              <w:jc w:val="center"/>
                            </w:pPr>
                            <w:r>
                              <w:rPr>
                                <w:sz w:val="20"/>
                                <w:szCs w:val="20"/>
                              </w:rPr>
                              <w:t>Kegiatan</w:t>
                            </w:r>
                            <w:r>
                              <w:t xml:space="preserve"> 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174.35pt;margin-top:1.3pt;height:23.25pt;width:102.6pt;z-index:251670528;mso-width-relative:page;mso-height-relative:page;" fillcolor="#FFFFFF" filled="t" stroked="t" coordsize="21600,21600" o:gfxdata="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903+U1wAAAAgBAAAPAAAAAAAAAAEAIAAAACIAAABk&#10;cnMvZG93bnJldi54bWxQSwECFAAUAAAACACHTuJA7Az31HkCAAARBQAADgAAAAAAAAABACAAAAAm&#10;AQAAZHJzL2Uyb0RvYy54bWxQSwUGAAAAAAYABgBZAQAAEQYAAAAA&#10;">
                <v:fill on="t" focussize="0,0"/>
                <v:stroke weight="2pt" color="#F79646" joinstyle="round"/>
                <v:imagedata o:title=""/>
                <o:lock v:ext="edit" aspectratio="f"/>
                <v:textbox>
                  <w:txbxContent>
                    <w:p>
                      <w:pPr>
                        <w:jc w:val="center"/>
                      </w:pPr>
                      <w:r>
                        <w:rPr>
                          <w:sz w:val="20"/>
                          <w:szCs w:val="20"/>
                        </w:rPr>
                        <w:t>Kegiatan</w:t>
                      </w:r>
                      <w:r>
                        <w:t xml:space="preserve"> I</w:t>
                      </w:r>
                    </w:p>
                  </w:txbxContent>
                </v:textbox>
              </v:shape>
            </w:pict>
          </mc:Fallback>
        </mc:AlternateContent>
      </w:r>
      <w:r>
        <w:rPr>
          <w:sz w:val="20"/>
          <w:szCs w:val="20"/>
        </w:rPr>
        <mc:AlternateContent>
          <mc:Choice Requires="wps">
            <w:drawing>
              <wp:anchor distT="0" distB="0" distL="114300" distR="114300" simplePos="0" relativeHeight="251667456" behindDoc="0" locked="0" layoutInCell="1" allowOverlap="1">
                <wp:simplePos x="0" y="0"/>
                <wp:positionH relativeFrom="column">
                  <wp:posOffset>204470</wp:posOffset>
                </wp:positionH>
                <wp:positionV relativeFrom="paragraph">
                  <wp:posOffset>12065</wp:posOffset>
                </wp:positionV>
                <wp:extent cx="1761490" cy="259080"/>
                <wp:effectExtent l="0" t="0" r="10795" b="26670"/>
                <wp:wrapNone/>
                <wp:docPr id="47" name="Text Box 6"/>
                <wp:cNvGraphicFramePr/>
                <a:graphic xmlns:a="http://schemas.openxmlformats.org/drawingml/2006/main">
                  <a:graphicData uri="http://schemas.microsoft.com/office/word/2010/wordprocessingShape">
                    <wps:wsp>
                      <wps:cNvSpPr txBox="1"/>
                      <wps:spPr>
                        <a:xfrm>
                          <a:off x="0" y="0"/>
                          <a:ext cx="1761480" cy="259307"/>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Penetapan daerah sasaran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16.1pt;margin-top:0.95pt;height:20.4pt;width:138.7pt;z-index:251667456;mso-width-relative:page;mso-height-relative:page;" fillcolor="#FFFFFF" filled="t" stroked="t" coordsize="21600,21600" o:gfxdata="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&#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sRs9L1QAAAAcBAAAPAAAAAAAAAAEAIAAAACIAAABk&#10;cnMvZG93bnJldi54bWxQSwECFAAUAAAACACHTuJA/A2eVXsCAAARBQAADgAAAAAAAAABACAAAAAk&#10;AQAAZHJzL2Uyb0RvYy54bWxQSwUGAAAAAAYABgBZAQAAEQYAAAAA&#10;">
                <v:fill on="t" focussize="0,0"/>
                <v:stroke weight="2pt" color="#F79646" joinstyle="round"/>
                <v:imagedata o:title=""/>
                <o:lock v:ext="edit" aspectratio="f"/>
                <v:textbox>
                  <w:txbxContent>
                    <w:p>
                      <w:pPr>
                        <w:jc w:val="center"/>
                        <w:rPr>
                          <w:sz w:val="20"/>
                          <w:szCs w:val="20"/>
                        </w:rPr>
                      </w:pPr>
                      <w:r>
                        <w:rPr>
                          <w:sz w:val="20"/>
                          <w:szCs w:val="20"/>
                        </w:rPr>
                        <w:t>Penetapan daerah sasaran</w:t>
                      </w:r>
                    </w:p>
                  </w:txbxContent>
                </v:textbox>
              </v:shape>
            </w:pict>
          </mc:Fallback>
        </mc:AlternateContent>
      </w:r>
      <w:r>
        <w:rPr>
          <w:sz w:val="20"/>
          <w:szCs w:val="20"/>
        </w:rPr>
        <w:drawing>
          <wp:anchor distT="0" distB="0" distL="114300" distR="114300" simplePos="0" relativeHeight="251676672" behindDoc="1" locked="0" layoutInCell="1" allowOverlap="1">
            <wp:simplePos x="0" y="0"/>
            <wp:positionH relativeFrom="column">
              <wp:posOffset>3556000</wp:posOffset>
            </wp:positionH>
            <wp:positionV relativeFrom="paragraph">
              <wp:posOffset>58420</wp:posOffset>
            </wp:positionV>
            <wp:extent cx="143510" cy="140335"/>
            <wp:effectExtent l="0" t="0" r="8890" b="0"/>
            <wp:wrapTight wrapText="bothSides">
              <wp:wrapPolygon>
                <wp:start x="2867" y="0"/>
                <wp:lineTo x="0" y="2932"/>
                <wp:lineTo x="0" y="14661"/>
                <wp:lineTo x="2867" y="17593"/>
                <wp:lineTo x="17204" y="17593"/>
                <wp:lineTo x="20071" y="17593"/>
                <wp:lineTo x="20071" y="2932"/>
                <wp:lineTo x="17204" y="0"/>
                <wp:lineTo x="28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510" cy="140335"/>
                    </a:xfrm>
                    <a:prstGeom prst="rect">
                      <a:avLst/>
                    </a:prstGeom>
                    <a:noFill/>
                  </pic:spPr>
                </pic:pic>
              </a:graphicData>
            </a:graphic>
          </wp:anchor>
        </w:drawing>
      </w:r>
    </w:p>
    <w:p>
      <w:pPr>
        <w:spacing w:after="200"/>
        <w:ind w:left="720"/>
        <w:contextualSpacing/>
        <w:rPr>
          <w:sz w:val="20"/>
          <w:szCs w:val="20"/>
        </w:rPr>
      </w:pPr>
      <w:r>
        <w:rPr>
          <w:sz w:val="20"/>
          <w:szCs w:val="20"/>
        </w:rPr>
        <w:drawing>
          <wp:anchor distT="0" distB="0" distL="114300" distR="114300" simplePos="0" relativeHeight="251677696" behindDoc="1" locked="0" layoutInCell="1" allowOverlap="1">
            <wp:simplePos x="0" y="0"/>
            <wp:positionH relativeFrom="column">
              <wp:posOffset>4280535</wp:posOffset>
            </wp:positionH>
            <wp:positionV relativeFrom="paragraph">
              <wp:posOffset>69850</wp:posOffset>
            </wp:positionV>
            <wp:extent cx="140335" cy="143510"/>
            <wp:effectExtent l="0" t="0" r="0" b="8890"/>
            <wp:wrapTight wrapText="bothSides">
              <wp:wrapPolygon>
                <wp:start x="0" y="0"/>
                <wp:lineTo x="0" y="20071"/>
                <wp:lineTo x="17593" y="20071"/>
                <wp:lineTo x="175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sz w:val="20"/>
          <w:szCs w:val="20"/>
        </w:rPr>
        <w:drawing>
          <wp:anchor distT="0" distB="0" distL="114300" distR="114300" simplePos="0" relativeHeight="251674624" behindDoc="1" locked="0" layoutInCell="1" allowOverlap="1">
            <wp:simplePos x="0" y="0"/>
            <wp:positionH relativeFrom="column">
              <wp:posOffset>2767965</wp:posOffset>
            </wp:positionH>
            <wp:positionV relativeFrom="paragraph">
              <wp:posOffset>69215</wp:posOffset>
            </wp:positionV>
            <wp:extent cx="140335" cy="143510"/>
            <wp:effectExtent l="0" t="0" r="0" b="8890"/>
            <wp:wrapTight wrapText="bothSides">
              <wp:wrapPolygon>
                <wp:start x="0" y="0"/>
                <wp:lineTo x="0" y="20071"/>
                <wp:lineTo x="17593" y="20071"/>
                <wp:lineTo x="175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sz w:val="20"/>
          <w:szCs w:val="20"/>
        </w:rPr>
        <w:drawing>
          <wp:anchor distT="0" distB="0" distL="114300" distR="114300" simplePos="0" relativeHeight="251671552" behindDoc="1" locked="0" layoutInCell="1" allowOverlap="1">
            <wp:simplePos x="0" y="0"/>
            <wp:positionH relativeFrom="column">
              <wp:posOffset>1036320</wp:posOffset>
            </wp:positionH>
            <wp:positionV relativeFrom="paragraph">
              <wp:posOffset>76835</wp:posOffset>
            </wp:positionV>
            <wp:extent cx="140335" cy="143510"/>
            <wp:effectExtent l="0" t="0" r="0" b="8890"/>
            <wp:wrapTight wrapText="bothSides">
              <wp:wrapPolygon>
                <wp:start x="0" y="0"/>
                <wp:lineTo x="0" y="20071"/>
                <wp:lineTo x="17593" y="20071"/>
                <wp:lineTo x="17593"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p>
    <w:p>
      <w:pPr>
        <w:spacing w:after="200"/>
        <w:ind w:left="720" w:firstLine="840"/>
        <w:contextualSpacing/>
        <w:rPr>
          <w:sz w:val="20"/>
          <w:szCs w:val="20"/>
        </w:rPr>
      </w:pPr>
      <w:r>
        <w:rPr>
          <w:sz w:val="20"/>
          <w:szCs w:val="20"/>
        </w:rPr>
        <mc:AlternateContent>
          <mc:Choice Requires="wps">
            <w:drawing>
              <wp:anchor distT="0" distB="0" distL="114300" distR="114300" simplePos="0" relativeHeight="251660288" behindDoc="0" locked="0" layoutInCell="1" allowOverlap="1">
                <wp:simplePos x="0" y="0"/>
                <wp:positionH relativeFrom="column">
                  <wp:posOffset>3715385</wp:posOffset>
                </wp:positionH>
                <wp:positionV relativeFrom="paragraph">
                  <wp:posOffset>44450</wp:posOffset>
                </wp:positionV>
                <wp:extent cx="1328420" cy="266700"/>
                <wp:effectExtent l="0" t="0" r="24130" b="19050"/>
                <wp:wrapNone/>
                <wp:docPr id="46" name="Text Box 27"/>
                <wp:cNvGraphicFramePr/>
                <a:graphic xmlns:a="http://schemas.openxmlformats.org/drawingml/2006/main">
                  <a:graphicData uri="http://schemas.microsoft.com/office/word/2010/wordprocessingShape">
                    <wps:wsp>
                      <wps:cNvSpPr txBox="1"/>
                      <wps:spPr>
                        <a:xfrm>
                          <a:off x="0" y="0"/>
                          <a:ext cx="1328420" cy="266726"/>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Monitoring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7" o:spid="_x0000_s1026" o:spt="202" type="#_x0000_t202" style="position:absolute;left:0pt;margin-left:292.55pt;margin-top:3.5pt;height:21pt;width:104.6pt;z-index:251660288;mso-width-relative:page;mso-height-relative:page;" fillcolor="#FFFFFF" filled="t" stroked="t" coordsize="21600,21600" o:gfxdata="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eHlab1wAAAAgBAAAPAAAAAAAAAAEAIAAAACIA&#10;AABkcnMvZG93bnJldi54bWxQSwECFAAUAAAACACHTuJA2U+m13wCAAASBQAADgAAAAAAAAABACAA&#10;AAAmAQAAZHJzL2Uyb0RvYy54bWxQSwUGAAAAAAYABgBZAQAAFAYAAAAA&#10;">
                <v:fill on="t" focussize="0,0"/>
                <v:stroke weight="2pt" color="#F79646" joinstyle="round"/>
                <v:imagedata o:title=""/>
                <o:lock v:ext="edit" aspectratio="f"/>
                <v:textbox>
                  <w:txbxContent>
                    <w:p>
                      <w:pPr>
                        <w:jc w:val="center"/>
                        <w:rPr>
                          <w:sz w:val="20"/>
                          <w:szCs w:val="20"/>
                        </w:rPr>
                      </w:pPr>
                      <w:r>
                        <w:rPr>
                          <w:sz w:val="20"/>
                          <w:szCs w:val="20"/>
                        </w:rPr>
                        <w:t>Monitoring</w:t>
                      </w:r>
                    </w:p>
                  </w:txbxContent>
                </v:textbox>
              </v:shape>
            </w:pict>
          </mc:Fallback>
        </mc:AlternateContent>
      </w:r>
      <w:r>
        <w:rPr>
          <w:sz w:val="20"/>
          <w:szCs w:val="20"/>
        </w:rPr>
        <mc:AlternateContent>
          <mc:Choice Requires="wps">
            <w:drawing>
              <wp:anchor distT="0" distB="0" distL="114300" distR="114300" simplePos="0" relativeHeight="251665408" behindDoc="0" locked="0" layoutInCell="1" allowOverlap="1">
                <wp:simplePos x="0" y="0"/>
                <wp:positionH relativeFrom="column">
                  <wp:posOffset>2208530</wp:posOffset>
                </wp:positionH>
                <wp:positionV relativeFrom="paragraph">
                  <wp:posOffset>80645</wp:posOffset>
                </wp:positionV>
                <wp:extent cx="1303020" cy="263525"/>
                <wp:effectExtent l="0" t="0" r="11430" b="22860"/>
                <wp:wrapNone/>
                <wp:docPr id="44" name="Text Box 8"/>
                <wp:cNvGraphicFramePr/>
                <a:graphic xmlns:a="http://schemas.openxmlformats.org/drawingml/2006/main">
                  <a:graphicData uri="http://schemas.microsoft.com/office/word/2010/wordprocessingShape">
                    <wps:wsp>
                      <wps:cNvSpPr txBox="1"/>
                      <wps:spPr>
                        <a:xfrm>
                          <a:off x="0" y="0"/>
                          <a:ext cx="1303020" cy="263348"/>
                        </a:xfrm>
                        <a:prstGeom prst="rect">
                          <a:avLst/>
                        </a:prstGeom>
                        <a:solidFill>
                          <a:sysClr val="window" lastClr="FFFFFF"/>
                        </a:solidFill>
                        <a:ln w="25400" cap="flat" cmpd="sng" algn="ctr">
                          <a:solidFill>
                            <a:srgbClr val="F79646"/>
                          </a:solidFill>
                          <a:prstDash val="solid"/>
                        </a:ln>
                        <a:effectLst/>
                      </wps:spPr>
                      <wps:txbx>
                        <w:txbxContent>
                          <w:p>
                            <w:pPr>
                              <w:jc w:val="center"/>
                            </w:pPr>
                            <w:r>
                              <w:rPr>
                                <w:sz w:val="20"/>
                                <w:szCs w:val="20"/>
                              </w:rPr>
                              <w:t>Sosialisasi</w:t>
                            </w:r>
                            <w:r>
                              <w:t xml:space="preserve"> Kegiatan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 o:spid="_x0000_s1026" o:spt="202" type="#_x0000_t202" style="position:absolute;left:0pt;margin-left:173.9pt;margin-top:6.35pt;height:20.75pt;width:102.6pt;z-index:251665408;mso-width-relative:page;mso-height-relative:page;" fillcolor="#FFFFFF" filled="t" stroked="t" coordsize="21600,21600" o:gfxdata="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6nOzXAAAACQEAAA8AAAAAAAAAAQAgAAAAIgAA&#10;AGRycy9kb3ducmV2LnhtbFBLAQIUABQAAAAIAIdO4kC4KloRewIAABEFAAAOAAAAAAAAAAEAIAAA&#10;ACYBAABkcnMvZTJvRG9jLnhtbFBLBQYAAAAABgAGAFkBAAATBgAAAAA=&#10;">
                <v:fill on="t" focussize="0,0"/>
                <v:stroke weight="2pt" color="#F79646" joinstyle="round"/>
                <v:imagedata o:title=""/>
                <o:lock v:ext="edit" aspectratio="f"/>
                <v:textbox>
                  <w:txbxContent>
                    <w:p>
                      <w:pPr>
                        <w:jc w:val="center"/>
                      </w:pPr>
                      <w:r>
                        <w:rPr>
                          <w:sz w:val="20"/>
                          <w:szCs w:val="20"/>
                        </w:rPr>
                        <w:t>Sosialisasi</w:t>
                      </w:r>
                      <w:r>
                        <w:t xml:space="preserve"> Kegiatan</w:t>
                      </w:r>
                    </w:p>
                  </w:txbxContent>
                </v:textbox>
              </v:shape>
            </w:pict>
          </mc:Fallback>
        </mc:AlternateContent>
      </w:r>
      <w:r>
        <w:rPr>
          <w:sz w:val="20"/>
          <w:szCs w:val="20"/>
        </w:rPr>
        <mc:AlternateContent>
          <mc:Choice Requires="wps">
            <w:drawing>
              <wp:anchor distT="0" distB="0" distL="114300" distR="114300" simplePos="0" relativeHeight="251668480" behindDoc="0" locked="0" layoutInCell="1" allowOverlap="1">
                <wp:simplePos x="0" y="0"/>
                <wp:positionH relativeFrom="column">
                  <wp:posOffset>229870</wp:posOffset>
                </wp:positionH>
                <wp:positionV relativeFrom="paragraph">
                  <wp:posOffset>55880</wp:posOffset>
                </wp:positionV>
                <wp:extent cx="1734185" cy="252095"/>
                <wp:effectExtent l="0" t="0" r="18415" b="14605"/>
                <wp:wrapNone/>
                <wp:docPr id="45" name="Text Box 6"/>
                <wp:cNvGraphicFramePr/>
                <a:graphic xmlns:a="http://schemas.openxmlformats.org/drawingml/2006/main">
                  <a:graphicData uri="http://schemas.microsoft.com/office/word/2010/wordprocessingShape">
                    <wps:wsp>
                      <wps:cNvSpPr txBox="1"/>
                      <wps:spPr>
                        <a:xfrm>
                          <a:off x="0" y="0"/>
                          <a:ext cx="1734185" cy="251460"/>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Survey pendahuluan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18.1pt;margin-top:4.4pt;height:19.85pt;width:136.55pt;z-index:251668480;mso-width-relative:page;mso-height-relative:page;" fillcolor="#FFFFFF" filled="t" stroked="t" coordsize="21600,21600" o:gfxdata="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2x8lBtUAAAAHAQAADwAAAAAAAAABACAAAAAiAAAA&#10;ZHJzL2Rvd25yZXYueG1sUEsBAhQAFAAAAAgAh07iQFmscKR8AgAAEQUAAA4AAAAAAAAAAQAgAAAA&#10;JAEAAGRycy9lMm9Eb2MueG1sUEsFBgAAAAAGAAYAWQEAABIGAAAAAA==&#10;">
                <v:fill on="t" focussize="0,0"/>
                <v:stroke weight="2pt" color="#F79646" joinstyle="round"/>
                <v:imagedata o:title=""/>
                <o:lock v:ext="edit" aspectratio="f"/>
                <v:textbox>
                  <w:txbxContent>
                    <w:p>
                      <w:pPr>
                        <w:jc w:val="center"/>
                        <w:rPr>
                          <w:sz w:val="20"/>
                          <w:szCs w:val="20"/>
                        </w:rPr>
                      </w:pPr>
                      <w:r>
                        <w:rPr>
                          <w:sz w:val="20"/>
                          <w:szCs w:val="20"/>
                        </w:rPr>
                        <w:t>Survey pendahuluan</w:t>
                      </w:r>
                    </w:p>
                  </w:txbxContent>
                </v:textbox>
              </v:shape>
            </w:pict>
          </mc:Fallback>
        </mc:AlternateContent>
      </w:r>
    </w:p>
    <w:p>
      <w:pPr>
        <w:spacing w:after="200"/>
        <w:ind w:left="720"/>
        <w:contextualSpacing/>
        <w:rPr>
          <w:sz w:val="20"/>
          <w:szCs w:val="20"/>
        </w:rPr>
      </w:pPr>
      <w:r>
        <w:rPr>
          <w:sz w:val="20"/>
          <w:szCs w:val="20"/>
        </w:rPr>
        <w:drawing>
          <wp:anchor distT="0" distB="0" distL="114300" distR="114300" simplePos="0" relativeHeight="251678720" behindDoc="1" locked="0" layoutInCell="1" allowOverlap="1">
            <wp:simplePos x="0" y="0"/>
            <wp:positionH relativeFrom="column">
              <wp:posOffset>4266565</wp:posOffset>
            </wp:positionH>
            <wp:positionV relativeFrom="paragraph">
              <wp:posOffset>106045</wp:posOffset>
            </wp:positionV>
            <wp:extent cx="140335" cy="143510"/>
            <wp:effectExtent l="0" t="0" r="0" b="8890"/>
            <wp:wrapTight wrapText="bothSides">
              <wp:wrapPolygon>
                <wp:start x="0" y="0"/>
                <wp:lineTo x="0" y="20071"/>
                <wp:lineTo x="17593" y="20071"/>
                <wp:lineTo x="175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sz w:val="20"/>
          <w:szCs w:val="20"/>
        </w:rPr>
        <w:drawing>
          <wp:anchor distT="0" distB="0" distL="114300" distR="114300" simplePos="0" relativeHeight="251675648" behindDoc="1" locked="0" layoutInCell="1" allowOverlap="1">
            <wp:simplePos x="0" y="0"/>
            <wp:positionH relativeFrom="column">
              <wp:posOffset>2776220</wp:posOffset>
            </wp:positionH>
            <wp:positionV relativeFrom="paragraph">
              <wp:posOffset>152400</wp:posOffset>
            </wp:positionV>
            <wp:extent cx="140335" cy="143510"/>
            <wp:effectExtent l="0" t="0" r="0" b="8890"/>
            <wp:wrapTight wrapText="bothSides">
              <wp:wrapPolygon>
                <wp:start x="0" y="0"/>
                <wp:lineTo x="0" y="20071"/>
                <wp:lineTo x="17593" y="20071"/>
                <wp:lineTo x="1759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sz w:val="20"/>
          <w:szCs w:val="20"/>
        </w:rPr>
        <w:drawing>
          <wp:anchor distT="0" distB="0" distL="114300" distR="114300" simplePos="0" relativeHeight="251672576" behindDoc="1" locked="0" layoutInCell="1" allowOverlap="1">
            <wp:simplePos x="0" y="0"/>
            <wp:positionH relativeFrom="column">
              <wp:posOffset>1048385</wp:posOffset>
            </wp:positionH>
            <wp:positionV relativeFrom="paragraph">
              <wp:posOffset>137795</wp:posOffset>
            </wp:positionV>
            <wp:extent cx="140335" cy="143510"/>
            <wp:effectExtent l="0" t="0" r="0" b="8890"/>
            <wp:wrapTight wrapText="bothSides">
              <wp:wrapPolygon>
                <wp:start x="0" y="0"/>
                <wp:lineTo x="0" y="20071"/>
                <wp:lineTo x="17593" y="20071"/>
                <wp:lineTo x="1759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p>
    <w:p>
      <w:pPr>
        <w:spacing w:after="200"/>
        <w:ind w:left="720"/>
        <w:contextualSpacing/>
        <w:rPr>
          <w:sz w:val="20"/>
          <w:szCs w:val="20"/>
        </w:rPr>
      </w:pPr>
      <w:r>
        <w:rPr>
          <w:sz w:val="20"/>
          <w:szCs w:val="20"/>
        </w:rPr>
        <mc:AlternateContent>
          <mc:Choice Requires="wps">
            <w:drawing>
              <wp:anchor distT="0" distB="0" distL="114300" distR="114300" simplePos="0" relativeHeight="251669504" behindDoc="0" locked="0" layoutInCell="1" allowOverlap="1">
                <wp:simplePos x="0" y="0"/>
                <wp:positionH relativeFrom="column">
                  <wp:posOffset>233045</wp:posOffset>
                </wp:positionH>
                <wp:positionV relativeFrom="paragraph">
                  <wp:posOffset>110490</wp:posOffset>
                </wp:positionV>
                <wp:extent cx="1734185" cy="247650"/>
                <wp:effectExtent l="0" t="0" r="18415" b="19050"/>
                <wp:wrapNone/>
                <wp:docPr id="33" name="Text Box 6"/>
                <wp:cNvGraphicFramePr/>
                <a:graphic xmlns:a="http://schemas.openxmlformats.org/drawingml/2006/main">
                  <a:graphicData uri="http://schemas.microsoft.com/office/word/2010/wordprocessingShape">
                    <wps:wsp>
                      <wps:cNvSpPr txBox="1"/>
                      <wps:spPr>
                        <a:xfrm>
                          <a:off x="0" y="0"/>
                          <a:ext cx="1734185" cy="247650"/>
                        </a:xfrm>
                        <a:prstGeom prst="rect">
                          <a:avLst/>
                        </a:prstGeom>
                        <a:solidFill>
                          <a:sysClr val="window" lastClr="FFFFFF"/>
                        </a:solidFill>
                        <a:ln w="25400" cap="flat" cmpd="sng" algn="ctr">
                          <a:solidFill>
                            <a:srgbClr val="F79646"/>
                          </a:solidFill>
                          <a:prstDash val="solid"/>
                        </a:ln>
                        <a:effectLst/>
                      </wps:spPr>
                      <wps:txbx>
                        <w:txbxContent>
                          <w:p>
                            <w:pPr>
                              <w:jc w:val="center"/>
                            </w:pPr>
                            <w:r>
                              <w:rPr>
                                <w:sz w:val="20"/>
                                <w:szCs w:val="20"/>
                              </w:rPr>
                              <w:t>Koordinasi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18.35pt;margin-top:8.7pt;height:19.5pt;width:136.55pt;z-index:251669504;mso-width-relative:page;mso-height-relative:page;" fillcolor="#FFFFFF" filled="t" stroked="t" coordsize="21600,21600" o:gfxdata="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pgK1TXAAAACAEAAA8AAAAAAAAAAQAgAAAA&#10;IgAAAGRycy9kb3ducmV2LnhtbFBLAQIUABQAAAAIAIdO4kAdSvHmfgIAABEFAAAOAAAAAAAAAAEA&#10;IAAAACYBAABkcnMvZTJvRG9jLnhtbFBLBQYAAAAABgAGAFkBAAAWBgAAAAA=&#10;">
                <v:fill on="t" focussize="0,0"/>
                <v:stroke weight="2pt" color="#F79646" joinstyle="round"/>
                <v:imagedata o:title=""/>
                <o:lock v:ext="edit" aspectratio="f"/>
                <v:textbox>
                  <w:txbxContent>
                    <w:p>
                      <w:pPr>
                        <w:jc w:val="center"/>
                      </w:pPr>
                      <w:r>
                        <w:rPr>
                          <w:sz w:val="20"/>
                          <w:szCs w:val="20"/>
                        </w:rPr>
                        <w:t>Koordinasi</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3714750</wp:posOffset>
                </wp:positionH>
                <wp:positionV relativeFrom="paragraph">
                  <wp:posOffset>85725</wp:posOffset>
                </wp:positionV>
                <wp:extent cx="1343025" cy="251460"/>
                <wp:effectExtent l="0" t="0" r="28575" b="15240"/>
                <wp:wrapNone/>
                <wp:docPr id="34" name="Text Box 29"/>
                <wp:cNvGraphicFramePr/>
                <a:graphic xmlns:a="http://schemas.openxmlformats.org/drawingml/2006/main">
                  <a:graphicData uri="http://schemas.microsoft.com/office/word/2010/wordprocessingShape">
                    <wps:wsp>
                      <wps:cNvSpPr txBox="1"/>
                      <wps:spPr>
                        <a:xfrm>
                          <a:off x="0" y="0"/>
                          <a:ext cx="1342390" cy="251460"/>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Evaluasi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9" o:spid="_x0000_s1026" o:spt="202" type="#_x0000_t202" style="position:absolute;left:0pt;margin-left:292.5pt;margin-top:6.75pt;height:19.8pt;width:105.75pt;z-index:251661312;mso-width-relative:page;mso-height-relative:page;" fillcolor="#FFFFFF" filled="t" stroked="t" coordsize="21600,21600" o:gfxdata="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9swYDXAAAACQEAAA8AAAAAAAAAAQAgAAAAIgAA&#10;AGRycy9kb3ducmV2LnhtbFBLAQIUABQAAAAIAIdO4kDy0aIqewIAABIFAAAOAAAAAAAAAAEAIAAA&#10;ACYBAABkcnMvZTJvRG9jLnhtbFBLBQYAAAAABgAGAFkBAAATBgAAAAA=&#10;">
                <v:fill on="t" focussize="0,0"/>
                <v:stroke weight="2pt" color="#F79646" joinstyle="round"/>
                <v:imagedata o:title=""/>
                <o:lock v:ext="edit" aspectratio="f"/>
                <v:textbox>
                  <w:txbxContent>
                    <w:p>
                      <w:pPr>
                        <w:jc w:val="center"/>
                        <w:rPr>
                          <w:sz w:val="20"/>
                          <w:szCs w:val="20"/>
                        </w:rPr>
                      </w:pPr>
                      <w:r>
                        <w:rPr>
                          <w:sz w:val="20"/>
                          <w:szCs w:val="20"/>
                        </w:rPr>
                        <w:t>Evaluasi</w:t>
                      </w:r>
                    </w:p>
                  </w:txbxContent>
                </v:textbox>
              </v:shape>
            </w:pict>
          </mc:Fallback>
        </mc:AlternateContent>
      </w:r>
      <w:r>
        <w:rPr>
          <w:sz w:val="20"/>
          <w:szCs w:val="20"/>
        </w:rPr>
        <mc:AlternateContent>
          <mc:Choice Requires="wps">
            <w:drawing>
              <wp:anchor distT="0" distB="0" distL="114300" distR="114300" simplePos="0" relativeHeight="251664384" behindDoc="0" locked="0" layoutInCell="1" allowOverlap="1">
                <wp:simplePos x="0" y="0"/>
                <wp:positionH relativeFrom="column">
                  <wp:posOffset>2210435</wp:posOffset>
                </wp:positionH>
                <wp:positionV relativeFrom="paragraph">
                  <wp:posOffset>114300</wp:posOffset>
                </wp:positionV>
                <wp:extent cx="1303020" cy="252095"/>
                <wp:effectExtent l="0" t="0" r="11430" b="14605"/>
                <wp:wrapNone/>
                <wp:docPr id="32" name="Text Box 7"/>
                <wp:cNvGraphicFramePr/>
                <a:graphic xmlns:a="http://schemas.openxmlformats.org/drawingml/2006/main">
                  <a:graphicData uri="http://schemas.microsoft.com/office/word/2010/wordprocessingShape">
                    <wps:wsp>
                      <wps:cNvSpPr txBox="1"/>
                      <wps:spPr>
                        <a:xfrm>
                          <a:off x="0" y="0"/>
                          <a:ext cx="1303020" cy="251460"/>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Pengurusan Izin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left:174.05pt;margin-top:9pt;height:19.85pt;width:102.6pt;z-index:251664384;mso-width-relative:page;mso-height-relative:page;" fillcolor="#FFFFFF" filled="t" stroked="t" coordsize="21600,21600" o:gfxdata="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shS9NcAAAAJAQAADwAAAAAAAAABACAAAAAiAAAA&#10;ZHJzL2Rvd25yZXYueG1sUEsBAhQAFAAAAAgAh07iQO1g8Td6AgAAEQUAAA4AAAAAAAAAAQAgAAAA&#10;JgEAAGRycy9lMm9Eb2MueG1sUEsFBgAAAAAGAAYAWQEAABIGAAAAAA==&#10;">
                <v:fill on="t" focussize="0,0"/>
                <v:stroke weight="2pt" color="#F79646" joinstyle="round"/>
                <v:imagedata o:title=""/>
                <o:lock v:ext="edit" aspectratio="f"/>
                <v:textbox>
                  <w:txbxContent>
                    <w:p>
                      <w:pPr>
                        <w:jc w:val="center"/>
                        <w:rPr>
                          <w:sz w:val="20"/>
                          <w:szCs w:val="20"/>
                        </w:rPr>
                      </w:pPr>
                      <w:r>
                        <w:rPr>
                          <w:sz w:val="20"/>
                          <w:szCs w:val="20"/>
                        </w:rPr>
                        <w:t>Pengurusan Izin</w:t>
                      </w:r>
                    </w:p>
                  </w:txbxContent>
                </v:textbox>
              </v:shape>
            </w:pict>
          </mc:Fallback>
        </mc:AlternateContent>
      </w:r>
    </w:p>
    <w:p>
      <w:pPr>
        <w:spacing w:after="200"/>
        <w:ind w:left="720"/>
        <w:contextualSpacing/>
        <w:rPr>
          <w:sz w:val="20"/>
          <w:szCs w:val="20"/>
        </w:rPr>
      </w:pPr>
      <w:r>
        <w:rPr>
          <w:sz w:val="20"/>
          <w:szCs w:val="20"/>
        </w:rPr>
        <w:drawing>
          <wp:anchor distT="0" distB="0" distL="114300" distR="114300" simplePos="0" relativeHeight="251679744" behindDoc="1" locked="0" layoutInCell="1" allowOverlap="1">
            <wp:simplePos x="0" y="0"/>
            <wp:positionH relativeFrom="column">
              <wp:posOffset>4274185</wp:posOffset>
            </wp:positionH>
            <wp:positionV relativeFrom="paragraph">
              <wp:posOffset>188595</wp:posOffset>
            </wp:positionV>
            <wp:extent cx="140335" cy="143510"/>
            <wp:effectExtent l="0" t="0" r="0" b="8890"/>
            <wp:wrapTight wrapText="bothSides">
              <wp:wrapPolygon>
                <wp:start x="0" y="0"/>
                <wp:lineTo x="0" y="20071"/>
                <wp:lineTo x="17593" y="20071"/>
                <wp:lineTo x="1759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sz w:val="20"/>
          <w:szCs w:val="20"/>
        </w:rPr>
        <w:drawing>
          <wp:anchor distT="0" distB="0" distL="114300" distR="114300" simplePos="0" relativeHeight="251673600" behindDoc="1" locked="0" layoutInCell="1" allowOverlap="1">
            <wp:simplePos x="0" y="0"/>
            <wp:positionH relativeFrom="column">
              <wp:posOffset>1044575</wp:posOffset>
            </wp:positionH>
            <wp:positionV relativeFrom="paragraph">
              <wp:posOffset>167640</wp:posOffset>
            </wp:positionV>
            <wp:extent cx="140335" cy="143510"/>
            <wp:effectExtent l="0" t="0" r="0" b="8890"/>
            <wp:wrapTight wrapText="bothSides">
              <wp:wrapPolygon>
                <wp:start x="0" y="0"/>
                <wp:lineTo x="0" y="20071"/>
                <wp:lineTo x="17593" y="20071"/>
                <wp:lineTo x="1759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p>
    <w:p>
      <w:pPr>
        <w:spacing w:after="200"/>
        <w:ind w:left="720" w:firstLine="840"/>
        <w:contextualSpacing/>
        <w:rPr>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3851910</wp:posOffset>
                </wp:positionH>
                <wp:positionV relativeFrom="paragraph">
                  <wp:posOffset>151130</wp:posOffset>
                </wp:positionV>
                <wp:extent cx="1005840" cy="280035"/>
                <wp:effectExtent l="0" t="0" r="22860" b="24765"/>
                <wp:wrapNone/>
                <wp:docPr id="31" name="Text Box 30"/>
                <wp:cNvGraphicFramePr/>
                <a:graphic xmlns:a="http://schemas.openxmlformats.org/drawingml/2006/main">
                  <a:graphicData uri="http://schemas.microsoft.com/office/word/2010/wordprocessingShape">
                    <wps:wsp>
                      <wps:cNvSpPr txBox="1"/>
                      <wps:spPr>
                        <a:xfrm>
                          <a:off x="0" y="0"/>
                          <a:ext cx="1005840" cy="280035"/>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Laporan akhir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0" o:spid="_x0000_s1026" o:spt="202" type="#_x0000_t202" style="position:absolute;left:0pt;margin-left:303.3pt;margin-top:11.9pt;height:22.05pt;width:79.2pt;z-index:251662336;mso-width-relative:page;mso-height-relative:page;" fillcolor="#FFFFFF" filled="t" stroked="t" coordsize="21600,21600" o:gfxdata="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7xMTdcAAAAJAQAADwAAAAAAAAABACAAAAAiAAAAZHJz&#10;L2Rvd25yZXYueG1sUEsBAhQAFAAAAAgAh07iQE3De1l3AgAAEgUAAA4AAAAAAAAAAQAgAAAAJgEA&#10;AGRycy9lMm9Eb2MueG1sUEsFBgAAAAAGAAYAWQEAAA8GAAAAAA==&#10;">
                <v:fill on="t" focussize="0,0"/>
                <v:stroke weight="2pt" color="#F79646" joinstyle="round"/>
                <v:imagedata o:title=""/>
                <o:lock v:ext="edit" aspectratio="f"/>
                <v:textbox>
                  <w:txbxContent>
                    <w:p>
                      <w:pPr>
                        <w:jc w:val="center"/>
                        <w:rPr>
                          <w:sz w:val="20"/>
                          <w:szCs w:val="20"/>
                        </w:rPr>
                      </w:pPr>
                      <w:r>
                        <w:rPr>
                          <w:sz w:val="20"/>
                          <w:szCs w:val="20"/>
                        </w:rPr>
                        <w:t>Laporan akhir</w:t>
                      </w:r>
                    </w:p>
                  </w:txbxContent>
                </v:textbox>
              </v:shape>
            </w:pict>
          </mc:Fallback>
        </mc:AlternateContent>
      </w:r>
      <w:r>
        <w:rPr>
          <w:sz w:val="20"/>
          <w:szCs w:val="20"/>
        </w:rPr>
        <mc:AlternateContent>
          <mc:Choice Requires="wps">
            <w:drawing>
              <wp:anchor distT="0" distB="0" distL="114300" distR="114300" simplePos="0" relativeHeight="251666432" behindDoc="0" locked="0" layoutInCell="1" allowOverlap="1">
                <wp:simplePos x="0" y="0"/>
                <wp:positionH relativeFrom="column">
                  <wp:posOffset>2126615</wp:posOffset>
                </wp:positionH>
                <wp:positionV relativeFrom="paragraph">
                  <wp:posOffset>66040</wp:posOffset>
                </wp:positionV>
                <wp:extent cx="777240" cy="302260"/>
                <wp:effectExtent l="0" t="19050" r="41910" b="21590"/>
                <wp:wrapNone/>
                <wp:docPr id="30" name="Arrow: Bent-Up 9"/>
                <wp:cNvGraphicFramePr/>
                <a:graphic xmlns:a="http://schemas.openxmlformats.org/drawingml/2006/main">
                  <a:graphicData uri="http://schemas.microsoft.com/office/word/2010/wordprocessingShape">
                    <wps:wsp>
                      <wps:cNvSpPr/>
                      <wps:spPr>
                        <a:xfrm>
                          <a:off x="0" y="0"/>
                          <a:ext cx="777240" cy="302260"/>
                        </a:xfrm>
                        <a:prstGeom prst="bentUpArrow">
                          <a:avLst/>
                        </a:prstGeom>
                        <a:solidFill>
                          <a:srgbClr val="4F81BD"/>
                        </a:solidFill>
                        <a:ln w="25400" cap="flat" cmpd="sng" algn="ctr">
                          <a:solidFill>
                            <a:srgbClr val="4F81BD">
                              <a:shade val="15000"/>
                            </a:srgbClr>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Bent-Up 9" o:spid="_x0000_s1026" style="position:absolute;left:0pt;margin-left:167.45pt;margin-top:5.2pt;height:23.8pt;width:61.2pt;z-index:251666432;v-text-anchor:middle;mso-width-relative:page;mso-height-relative:page;" fillcolor="#4F81BD" filled="t" stroked="t" coordsize="777240,302260" o:gfxdata="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3Tp+9gAAAAJAQAADwAAAAAAAAABACAAAAAi&#10;AAAAZHJzL2Rvd25yZXYueG1sUEsBAhQAFAAAAAgAh07iQAGvxGZ8AgAAJgUAAA4AAAAAAAAAAQAg&#10;AAAAJwEAAGRycy9lMm9Eb2MueG1sUEsFBgAAAAAGAAYAWQEAABUGAAAAAA==&#10;" path="m0,226695l663892,226695,663892,75565,626110,75565,701675,0,777240,75565,739457,75565,739457,302260,0,302260xe">
                <v:path textboxrect="0,0,777240,302260" o:connectlocs="701675,0;626110,75565;0,264477;369728,302260;739457,188912;777240,75565" o:connectangles="247,164,164,82,0,0"/>
                <v:fill on="t" focussize="0,0"/>
                <v:stroke weight="2pt" color="#1C334E" joinstyle="round"/>
                <v:imagedata o:title=""/>
                <o:lock v:ext="edit" aspectratio="f"/>
                <v:textbox>
                  <w:txbxContent>
                    <w:p>
                      <w:pPr>
                        <w:jc w:val="center"/>
                      </w:pPr>
                    </w:p>
                  </w:txbxContent>
                </v:textbox>
              </v:shape>
            </w:pict>
          </mc:Fallback>
        </mc:AlternateContent>
      </w:r>
      <w:r>
        <w:rPr>
          <w:sz w:val="20"/>
          <w:szCs w:val="20"/>
        </w:rPr>
        <mc:AlternateContent>
          <mc:Choice Requires="wps">
            <w:drawing>
              <wp:anchor distT="0" distB="0" distL="114300" distR="114300" simplePos="0" relativeHeight="251663360" behindDoc="0" locked="0" layoutInCell="1" allowOverlap="1">
                <wp:simplePos x="0" y="0"/>
                <wp:positionH relativeFrom="column">
                  <wp:posOffset>230505</wp:posOffset>
                </wp:positionH>
                <wp:positionV relativeFrom="paragraph">
                  <wp:posOffset>151130</wp:posOffset>
                </wp:positionV>
                <wp:extent cx="1734185" cy="280670"/>
                <wp:effectExtent l="0" t="0" r="18415" b="24130"/>
                <wp:wrapNone/>
                <wp:docPr id="29" name="Text Box 6"/>
                <wp:cNvGraphicFramePr/>
                <a:graphic xmlns:a="http://schemas.openxmlformats.org/drawingml/2006/main">
                  <a:graphicData uri="http://schemas.microsoft.com/office/word/2010/wordprocessingShape">
                    <wps:wsp>
                      <wps:cNvSpPr txBox="1"/>
                      <wps:spPr>
                        <a:xfrm>
                          <a:off x="0" y="0"/>
                          <a:ext cx="1734185" cy="280035"/>
                        </a:xfrm>
                        <a:prstGeom prst="rect">
                          <a:avLst/>
                        </a:prstGeom>
                        <a:solidFill>
                          <a:sysClr val="window" lastClr="FFFFFF"/>
                        </a:solidFill>
                        <a:ln w="25400" cap="flat" cmpd="sng" algn="ctr">
                          <a:solidFill>
                            <a:srgbClr val="F79646"/>
                          </a:solidFill>
                          <a:prstDash val="solid"/>
                        </a:ln>
                        <a:effectLst/>
                      </wps:spPr>
                      <wps:txbx>
                        <w:txbxContent>
                          <w:p>
                            <w:pPr>
                              <w:jc w:val="center"/>
                              <w:rPr>
                                <w:sz w:val="20"/>
                                <w:szCs w:val="20"/>
                              </w:rPr>
                            </w:pPr>
                            <w:r>
                              <w:rPr>
                                <w:sz w:val="20"/>
                                <w:szCs w:val="20"/>
                              </w:rPr>
                              <w:t>Menyusun Materi 1&amp;2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18.15pt;margin-top:11.9pt;height:22.1pt;width:136.55pt;z-index:251663360;mso-width-relative:page;mso-height-relative:page;" fillcolor="#FFFFFF" filled="t" stroked="t" coordsize="21600,21600" o:gfxdata="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keNv9cAAAAIAQAADwAAAAAAAAABACAAAAAi&#10;AAAAZHJzL2Rvd25yZXYueG1sUEsBAhQAFAAAAAgAh07iQGRR2yh9AgAAEQUAAA4AAAAAAAAAAQAg&#10;AAAAJgEAAGRycy9lMm9Eb2MueG1sUEsFBgAAAAAGAAYAWQEAABUGAAAAAA==&#10;">
                <v:fill on="t" focussize="0,0"/>
                <v:stroke weight="2pt" color="#F79646" joinstyle="round"/>
                <v:imagedata o:title=""/>
                <o:lock v:ext="edit" aspectratio="f"/>
                <v:textbox>
                  <w:txbxContent>
                    <w:p>
                      <w:pPr>
                        <w:jc w:val="center"/>
                        <w:rPr>
                          <w:sz w:val="20"/>
                          <w:szCs w:val="20"/>
                        </w:rPr>
                      </w:pPr>
                      <w:r>
                        <w:rPr>
                          <w:sz w:val="20"/>
                          <w:szCs w:val="20"/>
                        </w:rPr>
                        <w:t>Menyusun Materi 1&amp;2</w:t>
                      </w:r>
                    </w:p>
                  </w:txbxContent>
                </v:textbox>
              </v:shape>
            </w:pict>
          </mc:Fallback>
        </mc:AlternateContent>
      </w:r>
    </w:p>
    <w:p>
      <w:pPr>
        <w:spacing w:after="200"/>
        <w:ind w:left="720"/>
        <w:contextualSpacing/>
        <w:rPr>
          <w:sz w:val="20"/>
          <w:szCs w:val="20"/>
        </w:rPr>
      </w:pPr>
      <w:r>
        <w:rPr>
          <w:sz w:val="20"/>
          <w:szCs w:val="20"/>
        </w:rPr>
        <w:t xml:space="preserve">       </w:t>
      </w:r>
      <w:r>
        <w:rPr>
          <w:sz w:val="20"/>
          <w:szCs w:val="20"/>
        </w:rPr>
        <w:tab/>
      </w:r>
      <w:bookmarkStart w:id="0" w:name="_Toc145717584"/>
    </w:p>
    <w:p>
      <w:pPr>
        <w:spacing w:after="200"/>
        <w:rPr>
          <w:sz w:val="20"/>
          <w:szCs w:val="20"/>
        </w:rPr>
      </w:pPr>
    </w:p>
    <w:p>
      <w:pPr>
        <w:spacing w:after="200"/>
        <w:jc w:val="center"/>
        <w:rPr>
          <w:sz w:val="20"/>
          <w:szCs w:val="20"/>
        </w:rPr>
      </w:pPr>
      <w:r>
        <w:rPr>
          <w:sz w:val="20"/>
          <w:szCs w:val="20"/>
        </w:rPr>
        <w:t xml:space="preserve">Gambar </w:t>
      </w:r>
      <w:r>
        <w:rPr>
          <w:color w:val="000000"/>
          <w:sz w:val="20"/>
          <w:szCs w:val="20"/>
        </w:rPr>
        <w:t>1</w:t>
      </w:r>
      <w:r>
        <w:rPr>
          <w:sz w:val="20"/>
          <w:szCs w:val="20"/>
        </w:rPr>
        <w:t>. Alur Kegiatan</w:t>
      </w:r>
      <w:bookmarkEnd w:id="0"/>
    </w:p>
    <w:p>
      <w:pPr>
        <w:numPr>
          <w:ilvl w:val="0"/>
          <w:numId w:val="3"/>
        </w:numPr>
        <w:tabs>
          <w:tab w:val="left" w:pos="284"/>
        </w:tabs>
        <w:spacing w:before="240" w:after="240"/>
        <w:ind w:hanging="1080"/>
        <w:contextualSpacing/>
        <w:jc w:val="both"/>
        <w:rPr>
          <w:rFonts w:eastAsia="Times"/>
          <w:sz w:val="20"/>
          <w:szCs w:val="20"/>
          <w:lang w:val="en-GB" w:eastAsia="en-GB"/>
        </w:rPr>
      </w:pPr>
      <w:r>
        <w:rPr>
          <w:rFonts w:eastAsia="Times"/>
          <w:sz w:val="20"/>
          <w:szCs w:val="20"/>
          <w:lang w:val="en-GB" w:eastAsia="en-GB"/>
        </w:rPr>
        <w:t xml:space="preserve">Penetapan daerah sasaran </w:t>
      </w:r>
    </w:p>
    <w:p>
      <w:pPr>
        <w:ind w:left="284"/>
        <w:contextualSpacing/>
        <w:jc w:val="both"/>
        <w:rPr>
          <w:sz w:val="20"/>
          <w:szCs w:val="20"/>
          <w:lang w:val="en-GB" w:eastAsia="en-GB"/>
        </w:rPr>
      </w:pPr>
      <w:r>
        <w:rPr>
          <w:sz w:val="20"/>
          <w:szCs w:val="20"/>
          <w:lang w:val="en-GB" w:eastAsia="en-GB"/>
        </w:rPr>
        <w:t xml:space="preserve">Penetapan daerah sasaran di Kabupaten Kampar disebabkan karena Kecamatan Kampar adalah daerah binaan Poltekkes Kemenkes Riau dan Desa Ranah Singkuang terletak diwilayah Kabupaten tersebut, selain itu hal tersebut penetapan daerah sasaran juga disebabkan hasil observasi dan wawancara dengan berbagai pihak yang terkait dalam  kegiatan pengabmas.  </w:t>
      </w:r>
    </w:p>
    <w:p>
      <w:pPr>
        <w:numPr>
          <w:ilvl w:val="0"/>
          <w:numId w:val="3"/>
        </w:numPr>
        <w:tabs>
          <w:tab w:val="left" w:pos="284"/>
        </w:tabs>
        <w:ind w:hanging="1080"/>
        <w:contextualSpacing/>
        <w:jc w:val="both"/>
        <w:rPr>
          <w:rFonts w:eastAsia="Times"/>
          <w:sz w:val="20"/>
          <w:szCs w:val="20"/>
          <w:lang w:val="en-GB" w:eastAsia="en-GB"/>
        </w:rPr>
      </w:pPr>
      <w:r>
        <w:rPr>
          <w:rFonts w:eastAsia="Times"/>
          <w:sz w:val="20"/>
          <w:szCs w:val="20"/>
          <w:lang w:val="en-GB" w:eastAsia="en-GB"/>
        </w:rPr>
        <w:t xml:space="preserve">Survey pendahuluan </w:t>
      </w:r>
    </w:p>
    <w:p>
      <w:pPr>
        <w:tabs>
          <w:tab w:val="left" w:pos="284"/>
        </w:tabs>
        <w:ind w:left="284"/>
        <w:contextualSpacing/>
        <w:jc w:val="both"/>
        <w:rPr>
          <w:rFonts w:eastAsia="Times"/>
          <w:sz w:val="20"/>
          <w:szCs w:val="20"/>
          <w:lang w:val="en-GB" w:eastAsia="en-GB"/>
        </w:rPr>
      </w:pPr>
      <w:r>
        <w:rPr>
          <w:rFonts w:eastAsia="Times"/>
          <w:sz w:val="20"/>
          <w:szCs w:val="20"/>
          <w:lang w:val="en-GB" w:eastAsia="en-GB"/>
        </w:rPr>
        <w:t>Survey pendahuluan dilakukan sebelum kegiatan pengabmas dillaksanakan.  Tujuan dilakukan survey pendahuluan adalah untuk melihat lokasi pengabmas dan  mengambil data awal terkait sasaran yang akan diikutsertakan dalam kegiatan  pengabmas.  Sasaran yang diambil adalah kader posyandu Desa Ranah Singkuang.   Tahapan kegiatan yang dilaksanakan  adalah:</w:t>
      </w:r>
    </w:p>
    <w:p>
      <w:pPr>
        <w:numPr>
          <w:ilvl w:val="2"/>
          <w:numId w:val="4"/>
        </w:numPr>
        <w:tabs>
          <w:tab w:val="left" w:pos="567"/>
        </w:tabs>
        <w:ind w:hanging="3998"/>
        <w:contextualSpacing/>
        <w:jc w:val="both"/>
        <w:rPr>
          <w:rFonts w:eastAsia="Times"/>
          <w:sz w:val="20"/>
          <w:szCs w:val="20"/>
          <w:lang w:val="en-GB" w:eastAsia="en-GB"/>
        </w:rPr>
      </w:pPr>
      <w:r>
        <w:rPr>
          <w:rFonts w:eastAsia="Times"/>
          <w:sz w:val="20"/>
          <w:szCs w:val="20"/>
          <w:lang w:val="en-GB" w:eastAsia="en-GB"/>
        </w:rPr>
        <w:t>Penyelidikan awal</w:t>
      </w:r>
    </w:p>
    <w:p>
      <w:pPr>
        <w:tabs>
          <w:tab w:val="left" w:pos="567"/>
        </w:tabs>
        <w:ind w:left="567" w:hanging="3714"/>
        <w:contextualSpacing/>
        <w:jc w:val="both"/>
        <w:rPr>
          <w:rFonts w:eastAsia="Times"/>
          <w:sz w:val="20"/>
          <w:szCs w:val="20"/>
          <w:lang w:val="en-GB" w:eastAsia="en-GB"/>
        </w:rPr>
      </w:pPr>
      <w:r>
        <w:rPr>
          <w:rFonts w:eastAsia="Times"/>
          <w:sz w:val="20"/>
          <w:szCs w:val="20"/>
          <w:lang w:val="en-GB" w:eastAsia="en-GB"/>
        </w:rPr>
        <w:tab/>
      </w:r>
      <w:r>
        <w:rPr>
          <w:rFonts w:eastAsia="Times"/>
          <w:sz w:val="20"/>
          <w:szCs w:val="20"/>
          <w:lang w:val="en-GB" w:eastAsia="en-GB"/>
        </w:rPr>
        <w:t xml:space="preserve">Meliputi kegiatan review keadaan wilayah, sasaran kegiatan dll, Pertemuan terbuka dengan berbagai pihak terkait </w:t>
      </w:r>
      <w:bookmarkStart w:id="1" w:name="_Hlk141860703"/>
      <w:r>
        <w:rPr>
          <w:rFonts w:eastAsia="Times"/>
          <w:sz w:val="20"/>
          <w:szCs w:val="20"/>
          <w:lang w:val="en-GB" w:eastAsia="en-GB"/>
        </w:rPr>
        <w:t>(Kepala desa, perwakilan kader, kepala puskesmas, penanggung jawab promosi Kesehatan dan  penanggung jawab gizi),</w:t>
      </w:r>
      <w:bookmarkEnd w:id="1"/>
      <w:r>
        <w:rPr>
          <w:rFonts w:eastAsia="Times"/>
          <w:sz w:val="20"/>
          <w:szCs w:val="20"/>
          <w:lang w:val="en-GB" w:eastAsia="en-GB"/>
        </w:rPr>
        <w:t xml:space="preserve"> pertemuan dilakukan secara terbuka yang bertujuan untuk : </w:t>
      </w:r>
    </w:p>
    <w:p>
      <w:pPr>
        <w:numPr>
          <w:ilvl w:val="0"/>
          <w:numId w:val="5"/>
        </w:numPr>
        <w:tabs>
          <w:tab w:val="left" w:pos="851"/>
        </w:tabs>
        <w:ind w:left="851" w:hanging="284"/>
        <w:contextualSpacing/>
        <w:jc w:val="both"/>
        <w:rPr>
          <w:rFonts w:eastAsia="Times"/>
          <w:sz w:val="20"/>
          <w:szCs w:val="20"/>
          <w:lang w:val="en-GB" w:eastAsia="en-GB"/>
        </w:rPr>
      </w:pPr>
      <w:r>
        <w:rPr>
          <w:rFonts w:eastAsia="Times"/>
          <w:sz w:val="20"/>
          <w:szCs w:val="20"/>
          <w:lang w:val="en-GB" w:eastAsia="en-GB"/>
        </w:rPr>
        <w:t xml:space="preserve">Menyampaikan maksud dan tujuan dari  kegiatan pengabdian Masyarakat yang  berjudul Peningkatan Kapasitas Kader Posyandu Dalam Pembuatan Makanan Tambahan (PMT) Berbahan Dasar Pangan Lokal  Sebagai Upaya Pencegahan Stunting Di Desa Ranah Singkuang.Kegiatan yang dilakukan meliputi;     </w:t>
      </w:r>
    </w:p>
    <w:p>
      <w:pPr>
        <w:numPr>
          <w:ilvl w:val="2"/>
          <w:numId w:val="6"/>
        </w:numPr>
        <w:tabs>
          <w:tab w:val="left" w:pos="1134"/>
        </w:tabs>
        <w:ind w:left="1134" w:hanging="283"/>
        <w:contextualSpacing/>
        <w:jc w:val="both"/>
        <w:rPr>
          <w:rFonts w:eastAsia="Times"/>
          <w:sz w:val="20"/>
          <w:szCs w:val="20"/>
          <w:lang w:val="en-GB" w:eastAsia="en-GB"/>
        </w:rPr>
      </w:pPr>
      <w:r>
        <w:rPr>
          <w:rFonts w:eastAsia="Times"/>
          <w:sz w:val="20"/>
          <w:szCs w:val="20"/>
          <w:lang w:val="en-GB" w:eastAsia="en-GB"/>
        </w:rPr>
        <w:t xml:space="preserve">Mendapatkan tanggapan dalam bentuk kerjasama </w:t>
      </w:r>
    </w:p>
    <w:p>
      <w:pPr>
        <w:numPr>
          <w:ilvl w:val="2"/>
          <w:numId w:val="6"/>
        </w:numPr>
        <w:tabs>
          <w:tab w:val="left" w:pos="1134"/>
        </w:tabs>
        <w:ind w:left="1134" w:hanging="283"/>
        <w:contextualSpacing/>
        <w:jc w:val="both"/>
        <w:rPr>
          <w:rFonts w:eastAsia="Times"/>
          <w:sz w:val="20"/>
          <w:szCs w:val="20"/>
          <w:lang w:val="pt-BR" w:eastAsia="en-GB"/>
        </w:rPr>
      </w:pPr>
      <w:r>
        <w:rPr>
          <w:rFonts w:eastAsia="Times"/>
          <w:sz w:val="20"/>
          <w:szCs w:val="20"/>
          <w:lang w:val="pt-BR" w:eastAsia="en-GB"/>
        </w:rPr>
        <w:t>Memperoleh informasi yang diperlukan selama proses kegiatan</w:t>
      </w:r>
    </w:p>
    <w:p>
      <w:pPr>
        <w:numPr>
          <w:ilvl w:val="2"/>
          <w:numId w:val="6"/>
        </w:numPr>
        <w:tabs>
          <w:tab w:val="left" w:pos="1134"/>
        </w:tabs>
        <w:ind w:left="1134" w:hanging="283"/>
        <w:contextualSpacing/>
        <w:jc w:val="both"/>
        <w:rPr>
          <w:rFonts w:eastAsia="Times"/>
          <w:sz w:val="20"/>
          <w:szCs w:val="20"/>
          <w:lang w:val="zh-CN" w:eastAsia="en-GB"/>
        </w:rPr>
      </w:pPr>
      <w:r>
        <w:rPr>
          <w:rFonts w:eastAsia="Times"/>
          <w:sz w:val="20"/>
          <w:szCs w:val="20"/>
          <w:lang w:val="zh-CN" w:eastAsia="en-GB"/>
        </w:rPr>
        <w:t>Membangun kredibilitas dari  masing masing profesi</w:t>
      </w:r>
    </w:p>
    <w:p>
      <w:pPr>
        <w:numPr>
          <w:ilvl w:val="2"/>
          <w:numId w:val="6"/>
        </w:numPr>
        <w:tabs>
          <w:tab w:val="left" w:pos="1134"/>
        </w:tabs>
        <w:ind w:left="1134" w:hanging="283"/>
        <w:contextualSpacing/>
        <w:jc w:val="both"/>
        <w:rPr>
          <w:rFonts w:eastAsia="Times"/>
          <w:sz w:val="20"/>
          <w:szCs w:val="20"/>
          <w:lang w:val="zh-CN" w:eastAsia="en-GB"/>
        </w:rPr>
      </w:pPr>
      <w:r>
        <w:rPr>
          <w:rFonts w:eastAsia="Times"/>
          <w:sz w:val="20"/>
          <w:szCs w:val="20"/>
          <w:lang w:val="zh-CN" w:eastAsia="en-GB"/>
        </w:rPr>
        <w:t xml:space="preserve">Menelaah dokumen yang tersedia sebagai data penunjang dari kegiatan pengabdian Masyarakat serta menyebaran informasi yang telah dimutakhirkan terkait data yang mengidikasikan adanya perubahan atau perkembangan. </w:t>
      </w:r>
    </w:p>
    <w:p>
      <w:pPr>
        <w:numPr>
          <w:ilvl w:val="0"/>
          <w:numId w:val="4"/>
        </w:numPr>
        <w:tabs>
          <w:tab w:val="left" w:pos="1418"/>
        </w:tabs>
        <w:ind w:left="851" w:hanging="284"/>
        <w:contextualSpacing/>
        <w:jc w:val="both"/>
        <w:rPr>
          <w:rFonts w:eastAsia="Times"/>
          <w:sz w:val="20"/>
          <w:szCs w:val="20"/>
          <w:lang w:val="zh-CN" w:eastAsia="en-GB"/>
        </w:rPr>
      </w:pPr>
      <w:r>
        <w:rPr>
          <w:rFonts w:eastAsia="Times"/>
          <w:sz w:val="20"/>
          <w:szCs w:val="20"/>
          <w:lang w:val="zh-CN" w:eastAsia="en-GB"/>
        </w:rPr>
        <w:t xml:space="preserve">Observasi </w:t>
      </w:r>
    </w:p>
    <w:p>
      <w:pPr>
        <w:ind w:left="1506" w:hanging="655"/>
        <w:contextualSpacing/>
        <w:jc w:val="both"/>
        <w:rPr>
          <w:rFonts w:eastAsia="Times"/>
          <w:sz w:val="20"/>
          <w:szCs w:val="20"/>
          <w:lang w:val="zh-CN" w:eastAsia="en-GB"/>
        </w:rPr>
      </w:pPr>
      <w:r>
        <w:rPr>
          <w:rFonts w:eastAsia="Times"/>
          <w:sz w:val="20"/>
          <w:szCs w:val="20"/>
          <w:lang w:val="zh-CN" w:eastAsia="en-GB"/>
        </w:rPr>
        <w:t xml:space="preserve">Kegiatan yang dilakukan dalam observasi adalah </w:t>
      </w:r>
    </w:p>
    <w:p>
      <w:pPr>
        <w:numPr>
          <w:ilvl w:val="0"/>
          <w:numId w:val="7"/>
        </w:numPr>
        <w:tabs>
          <w:tab w:val="left" w:pos="1134"/>
        </w:tabs>
        <w:ind w:left="1134" w:hanging="283"/>
        <w:contextualSpacing/>
        <w:jc w:val="both"/>
        <w:rPr>
          <w:rFonts w:eastAsia="Times"/>
          <w:sz w:val="20"/>
          <w:szCs w:val="20"/>
          <w:lang w:val="zh-CN" w:eastAsia="en-GB"/>
        </w:rPr>
      </w:pPr>
      <w:r>
        <w:rPr>
          <w:rFonts w:eastAsia="Times"/>
          <w:sz w:val="20"/>
          <w:szCs w:val="20"/>
          <w:lang w:val="zh-CN" w:eastAsia="en-GB"/>
        </w:rPr>
        <w:t>Pengamatan secara langsung dilapangan (kader posyandu, balita, PMT, dll), review atas kegiatan tertentu secara bertahap (penggalian informasi dari kelompok sasaran dalam hal ini kader posyandu  dan kelompok pendukung yaitu kepala desa</w:t>
      </w:r>
      <w:r>
        <w:rPr>
          <w:rFonts w:eastAsia="Times"/>
          <w:sz w:val="20"/>
          <w:szCs w:val="20"/>
          <w:lang w:val="en-GB" w:eastAsia="en-GB"/>
        </w:rPr>
        <w:t>, penanggung jawab, kepala Puskesmas, penanggung jawab promosi Kesehatan, bidan desa  dan  penanggung jawab gizi</w:t>
      </w:r>
    </w:p>
    <w:p>
      <w:pPr>
        <w:numPr>
          <w:ilvl w:val="0"/>
          <w:numId w:val="7"/>
        </w:numPr>
        <w:tabs>
          <w:tab w:val="left" w:pos="851"/>
          <w:tab w:val="left" w:pos="1843"/>
        </w:tabs>
        <w:ind w:left="1134" w:hanging="283"/>
        <w:contextualSpacing/>
        <w:jc w:val="both"/>
        <w:rPr>
          <w:rFonts w:eastAsia="Times"/>
          <w:sz w:val="20"/>
          <w:szCs w:val="20"/>
          <w:lang w:eastAsia="en-GB"/>
        </w:rPr>
      </w:pPr>
      <w:r>
        <w:rPr>
          <w:rFonts w:eastAsia="Times"/>
          <w:sz w:val="20"/>
          <w:szCs w:val="20"/>
          <w:lang w:val="en-GB" w:eastAsia="en-GB"/>
        </w:rPr>
        <w:t xml:space="preserve">Penyiapan bagan arus </w:t>
      </w:r>
    </w:p>
    <w:p>
      <w:pPr>
        <w:tabs>
          <w:tab w:val="left" w:pos="851"/>
          <w:tab w:val="left" w:pos="1843"/>
        </w:tabs>
        <w:ind w:left="1134" w:hanging="283"/>
        <w:contextualSpacing/>
        <w:jc w:val="both"/>
        <w:rPr>
          <w:rFonts w:eastAsia="Times"/>
          <w:sz w:val="20"/>
          <w:szCs w:val="20"/>
          <w:lang w:val="en-GB" w:eastAsia="en-GB"/>
        </w:rPr>
      </w:pPr>
      <w:r>
        <w:rPr>
          <w:rFonts w:eastAsia="Times"/>
          <w:sz w:val="20"/>
          <w:szCs w:val="20"/>
          <w:lang w:val="en-GB" w:eastAsia="en-GB"/>
        </w:rPr>
        <w:tab/>
      </w:r>
      <w:r>
        <w:rPr>
          <w:rFonts w:eastAsia="Times"/>
          <w:sz w:val="20"/>
          <w:szCs w:val="20"/>
          <w:lang w:val="en-GB" w:eastAsia="en-GB"/>
        </w:rPr>
        <w:t xml:space="preserve">Penyiapan bagan arus memiliki tujuan untuk mendeskripsikan kegiatan pengabdian Masyarakat secara komprehensif dalam bentuk analisis visual. </w:t>
      </w:r>
    </w:p>
    <w:p>
      <w:pPr>
        <w:numPr>
          <w:ilvl w:val="0"/>
          <w:numId w:val="7"/>
        </w:numPr>
        <w:tabs>
          <w:tab w:val="left" w:pos="993"/>
          <w:tab w:val="left" w:pos="1843"/>
        </w:tabs>
        <w:ind w:left="1134" w:hanging="283"/>
        <w:contextualSpacing/>
        <w:jc w:val="both"/>
        <w:rPr>
          <w:rFonts w:eastAsia="Times"/>
          <w:sz w:val="20"/>
          <w:szCs w:val="20"/>
          <w:lang w:val="zh-CN" w:eastAsia="en-GB"/>
        </w:rPr>
      </w:pPr>
      <w:r>
        <w:rPr>
          <w:rFonts w:eastAsia="Times"/>
          <w:sz w:val="20"/>
          <w:szCs w:val="20"/>
          <w:lang w:val="en-GB" w:eastAsia="en-GB"/>
        </w:rPr>
        <w:t xml:space="preserve">Review analisis </w:t>
      </w:r>
    </w:p>
    <w:p>
      <w:pPr>
        <w:tabs>
          <w:tab w:val="left" w:pos="993"/>
          <w:tab w:val="left" w:pos="1843"/>
        </w:tabs>
        <w:ind w:left="1134" w:hanging="283"/>
        <w:contextualSpacing/>
        <w:jc w:val="both"/>
        <w:rPr>
          <w:rFonts w:eastAsia="Times"/>
          <w:sz w:val="20"/>
          <w:szCs w:val="20"/>
          <w:lang w:val="zh-CN" w:eastAsia="en-GB"/>
        </w:rPr>
      </w:pPr>
      <w:r>
        <w:rPr>
          <w:rFonts w:eastAsia="Times"/>
          <w:sz w:val="20"/>
          <w:szCs w:val="20"/>
          <w:lang w:val="en-GB" w:eastAsia="en-GB"/>
        </w:rPr>
        <w:tab/>
      </w:r>
      <w:r>
        <w:rPr>
          <w:rFonts w:eastAsia="Times"/>
          <w:sz w:val="20"/>
          <w:szCs w:val="20"/>
          <w:lang w:val="en-GB" w:eastAsia="en-GB"/>
        </w:rPr>
        <w:tab/>
      </w:r>
      <w:r>
        <w:rPr>
          <w:rFonts w:eastAsia="Times"/>
          <w:sz w:val="20"/>
          <w:szCs w:val="20"/>
          <w:lang w:val="en-GB" w:eastAsia="en-GB"/>
        </w:rPr>
        <w:t xml:space="preserve">Mendiskusikan data yang tersedia maupun kegiatan kegiatan  yang akan dilakukan berdasarkan data yang ada, sehingga diharapkan lebih relevan dengan situasi saat ini dan lebih maksimal. </w:t>
      </w:r>
    </w:p>
    <w:p>
      <w:pPr>
        <w:numPr>
          <w:ilvl w:val="0"/>
          <w:numId w:val="7"/>
        </w:numPr>
        <w:tabs>
          <w:tab w:val="left" w:pos="993"/>
        </w:tabs>
        <w:ind w:left="1134" w:hanging="283"/>
        <w:contextualSpacing/>
        <w:jc w:val="both"/>
        <w:rPr>
          <w:rFonts w:eastAsia="Times"/>
          <w:sz w:val="20"/>
          <w:szCs w:val="20"/>
          <w:lang w:val="zh-CN" w:eastAsia="en-GB"/>
        </w:rPr>
      </w:pPr>
      <w:r>
        <w:rPr>
          <w:rFonts w:eastAsia="Times"/>
          <w:sz w:val="20"/>
          <w:szCs w:val="20"/>
          <w:lang w:val="zh-CN" w:eastAsia="en-GB"/>
        </w:rPr>
        <w:t xml:space="preserve">Pembuatan laporan atau risalah survey </w:t>
      </w:r>
    </w:p>
    <w:p>
      <w:pPr>
        <w:ind w:left="1134"/>
        <w:contextualSpacing/>
        <w:jc w:val="both"/>
        <w:rPr>
          <w:rFonts w:eastAsia="Times"/>
          <w:sz w:val="20"/>
          <w:szCs w:val="20"/>
          <w:lang w:val="zh-CN" w:eastAsia="en-GB"/>
        </w:rPr>
      </w:pPr>
      <w:r>
        <w:rPr>
          <w:rFonts w:eastAsia="Times"/>
          <w:sz w:val="20"/>
          <w:szCs w:val="20"/>
          <w:lang w:val="zh-CN" w:eastAsia="en-GB"/>
        </w:rPr>
        <w:t>Laporan atau risalah survey pendahuluan berisi mengenai informasi yang menunjukan identitas mengenai :</w:t>
      </w:r>
    </w:p>
    <w:p>
      <w:pPr>
        <w:numPr>
          <w:ilvl w:val="0"/>
          <w:numId w:val="8"/>
        </w:numPr>
        <w:ind w:left="1418" w:hanging="284"/>
        <w:contextualSpacing/>
        <w:jc w:val="both"/>
        <w:rPr>
          <w:rFonts w:eastAsia="Times"/>
          <w:sz w:val="20"/>
          <w:szCs w:val="20"/>
          <w:lang w:val="zh-CN" w:eastAsia="en-GB"/>
        </w:rPr>
      </w:pPr>
      <w:r>
        <w:rPr>
          <w:rFonts w:eastAsia="Times"/>
          <w:sz w:val="20"/>
          <w:szCs w:val="20"/>
          <w:lang w:val="zh-CN" w:eastAsia="en-GB"/>
        </w:rPr>
        <w:t>Isu atau permasalahan yang memerlukan penanganan melalui kegiatan/ pekerjaan di lapangan (</w:t>
      </w:r>
      <w:r>
        <w:rPr>
          <w:rFonts w:eastAsia="Times"/>
          <w:i/>
          <w:iCs/>
          <w:sz w:val="20"/>
          <w:szCs w:val="20"/>
          <w:lang w:val="zh-CN" w:eastAsia="en-GB"/>
        </w:rPr>
        <w:t>field work</w:t>
      </w:r>
      <w:r>
        <w:rPr>
          <w:rFonts w:eastAsia="Times"/>
          <w:sz w:val="20"/>
          <w:szCs w:val="20"/>
          <w:lang w:val="zh-CN" w:eastAsia="en-GB"/>
        </w:rPr>
        <w:t xml:space="preserve">) untuk menyelesaikan persoalan atau masalah. Informasi yang didapatkan adalah bahan untuk merancang atau mengembangkan kegiatan pengabmas.  </w:t>
      </w:r>
    </w:p>
    <w:p>
      <w:pPr>
        <w:numPr>
          <w:ilvl w:val="0"/>
          <w:numId w:val="8"/>
        </w:numPr>
        <w:ind w:left="1418" w:hanging="284"/>
        <w:contextualSpacing/>
        <w:jc w:val="both"/>
        <w:rPr>
          <w:rFonts w:eastAsia="Times"/>
          <w:sz w:val="20"/>
          <w:szCs w:val="20"/>
          <w:lang w:val="zh-CN" w:eastAsia="en-GB"/>
        </w:rPr>
      </w:pPr>
      <w:r>
        <w:rPr>
          <w:rFonts w:eastAsia="Times"/>
          <w:sz w:val="20"/>
          <w:szCs w:val="20"/>
          <w:lang w:val="zh-CN" w:eastAsia="en-GB"/>
        </w:rPr>
        <w:t>Informasi mengenai temuan permasalahan yang diperoleh tim pengabmas yang dapat ditindaklanjuti pihak puskesmas maupun pihak desa.</w:t>
      </w:r>
    </w:p>
    <w:p>
      <w:pPr>
        <w:numPr>
          <w:ilvl w:val="0"/>
          <w:numId w:val="8"/>
        </w:numPr>
        <w:ind w:left="1418" w:hanging="284"/>
        <w:contextualSpacing/>
        <w:jc w:val="both"/>
        <w:rPr>
          <w:rFonts w:eastAsia="Times"/>
          <w:sz w:val="20"/>
          <w:szCs w:val="20"/>
          <w:lang w:val="zh-CN" w:eastAsia="en-GB"/>
        </w:rPr>
      </w:pPr>
      <w:r>
        <w:rPr>
          <w:rFonts w:eastAsia="Times"/>
          <w:sz w:val="20"/>
          <w:szCs w:val="20"/>
          <w:lang w:val="zh-CN" w:eastAsia="en-GB"/>
        </w:rPr>
        <w:t>Informasi terkait estimasi waktu kegiatan dan sumberdaya manusia yang terlibat dalam kegiatan pengabmas</w:t>
      </w:r>
    </w:p>
    <w:p>
      <w:pPr>
        <w:numPr>
          <w:ilvl w:val="0"/>
          <w:numId w:val="9"/>
        </w:numPr>
        <w:tabs>
          <w:tab w:val="left" w:pos="993"/>
        </w:tabs>
        <w:ind w:left="284" w:hanging="284"/>
        <w:contextualSpacing/>
        <w:jc w:val="both"/>
        <w:rPr>
          <w:rFonts w:eastAsia="Times"/>
          <w:sz w:val="20"/>
          <w:szCs w:val="20"/>
          <w:lang w:val="en-GB" w:eastAsia="en-GB"/>
        </w:rPr>
      </w:pPr>
      <w:r>
        <w:rPr>
          <w:rFonts w:eastAsia="Times"/>
          <w:sz w:val="20"/>
          <w:szCs w:val="20"/>
          <w:lang w:val="en-GB" w:eastAsia="en-GB"/>
        </w:rPr>
        <w:t xml:space="preserve">Koordinasi  </w:t>
      </w:r>
    </w:p>
    <w:p>
      <w:pPr>
        <w:ind w:left="284"/>
        <w:contextualSpacing/>
        <w:jc w:val="both"/>
        <w:rPr>
          <w:rFonts w:eastAsia="Times"/>
          <w:sz w:val="20"/>
          <w:szCs w:val="20"/>
          <w:lang w:val="en-GB" w:eastAsia="en-GB"/>
        </w:rPr>
      </w:pPr>
      <w:r>
        <w:rPr>
          <w:rFonts w:eastAsia="Times"/>
          <w:sz w:val="20"/>
          <w:szCs w:val="20"/>
          <w:lang w:val="en-GB" w:eastAsia="en-GB"/>
        </w:rPr>
        <w:t>Koordinasi dilakukan sebelum kegiatan pengabmas. R</w:t>
      </w:r>
      <w:r>
        <w:rPr>
          <w:color w:val="262626"/>
          <w:sz w:val="20"/>
          <w:szCs w:val="20"/>
          <w:shd w:val="clear" w:color="auto" w:fill="FFFFFF"/>
          <w:lang w:val="en-GB" w:eastAsia="en-GB"/>
        </w:rPr>
        <w:t xml:space="preserve">apat koordinasi ini diperlukan agar tujuan pengabdian masyarakat dapat tercapai serta dihadiri oleh  </w:t>
      </w:r>
      <w:r>
        <w:rPr>
          <w:rFonts w:eastAsia="Times"/>
          <w:sz w:val="20"/>
          <w:szCs w:val="20"/>
          <w:lang w:val="en-GB" w:eastAsia="en-GB"/>
        </w:rPr>
        <w:t>kepala desa, kader posyandu, kepala Puskesmas, penanggung jawab promosi Kesehatan, bidan desa dan  penanggung jawab gizi,</w:t>
      </w:r>
    </w:p>
    <w:p>
      <w:pPr>
        <w:numPr>
          <w:ilvl w:val="0"/>
          <w:numId w:val="9"/>
        </w:numPr>
        <w:tabs>
          <w:tab w:val="left" w:pos="993"/>
        </w:tabs>
        <w:ind w:left="284" w:hanging="284"/>
        <w:contextualSpacing/>
        <w:jc w:val="both"/>
        <w:rPr>
          <w:rFonts w:eastAsia="Times"/>
          <w:sz w:val="20"/>
          <w:szCs w:val="20"/>
          <w:lang w:val="en-GB" w:eastAsia="en-GB"/>
        </w:rPr>
      </w:pPr>
      <w:r>
        <w:rPr>
          <w:rFonts w:eastAsia="Times"/>
          <w:sz w:val="20"/>
          <w:szCs w:val="20"/>
          <w:lang w:val="en-GB" w:eastAsia="en-GB"/>
        </w:rPr>
        <w:t xml:space="preserve">Menyusun Materi </w:t>
      </w:r>
    </w:p>
    <w:p>
      <w:pPr>
        <w:ind w:left="993" w:hanging="709"/>
        <w:contextualSpacing/>
        <w:jc w:val="both"/>
        <w:rPr>
          <w:rFonts w:eastAsia="Times"/>
          <w:sz w:val="20"/>
          <w:szCs w:val="20"/>
          <w:lang w:val="en-GB" w:eastAsia="en-GB"/>
        </w:rPr>
      </w:pPr>
      <w:r>
        <w:rPr>
          <w:rFonts w:eastAsia="Times"/>
          <w:sz w:val="20"/>
          <w:szCs w:val="20"/>
          <w:lang w:val="en-GB" w:eastAsia="en-GB"/>
        </w:rPr>
        <w:t xml:space="preserve">Materi yang akan disampaikan berisi tentang </w:t>
      </w:r>
    </w:p>
    <w:p>
      <w:pPr>
        <w:numPr>
          <w:ilvl w:val="1"/>
          <w:numId w:val="9"/>
        </w:numPr>
        <w:tabs>
          <w:tab w:val="left" w:pos="709"/>
        </w:tabs>
        <w:ind w:left="709" w:hanging="425"/>
        <w:contextualSpacing/>
        <w:jc w:val="both"/>
        <w:rPr>
          <w:rFonts w:eastAsia="Times"/>
          <w:sz w:val="20"/>
          <w:szCs w:val="20"/>
          <w:lang w:val="en-GB" w:eastAsia="en-GB"/>
        </w:rPr>
      </w:pPr>
      <w:r>
        <w:rPr>
          <w:rFonts w:eastAsia="Times"/>
          <w:sz w:val="20"/>
          <w:szCs w:val="20"/>
          <w:lang w:val="en-GB" w:eastAsia="en-GB"/>
        </w:rPr>
        <w:t xml:space="preserve">Kader posyandu, hal yang akan disampaikan segala sesuatu yang berkaitan dengan kader posyandu, mulai dari defenisi sampai dengan peran dan fungsi kader di Masyarakat.   </w:t>
      </w:r>
    </w:p>
    <w:p>
      <w:pPr>
        <w:numPr>
          <w:ilvl w:val="1"/>
          <w:numId w:val="9"/>
        </w:numPr>
        <w:tabs>
          <w:tab w:val="left" w:pos="709"/>
        </w:tabs>
        <w:ind w:left="709" w:hanging="425"/>
        <w:contextualSpacing/>
        <w:jc w:val="both"/>
        <w:rPr>
          <w:sz w:val="20"/>
          <w:szCs w:val="20"/>
          <w:lang w:val="en-GB" w:eastAsia="en-GB"/>
        </w:rPr>
      </w:pPr>
      <w:r>
        <w:rPr>
          <w:rFonts w:eastAsia="Times"/>
          <w:sz w:val="20"/>
          <w:szCs w:val="20"/>
          <w:lang w:val="en-GB" w:eastAsia="en-GB"/>
        </w:rPr>
        <w:t xml:space="preserve">Balita, materi yang disampaikan terkait dengan balita mulai dari defenisi, kebutuhan zat gizi, masalah gizi pada balita, dampak masalah gizi pada balita, dll. </w:t>
      </w:r>
    </w:p>
    <w:p>
      <w:pPr>
        <w:tabs>
          <w:tab w:val="left" w:pos="709"/>
        </w:tabs>
        <w:ind w:left="709"/>
        <w:contextualSpacing/>
        <w:jc w:val="both"/>
        <w:rPr>
          <w:sz w:val="20"/>
          <w:szCs w:val="20"/>
          <w:lang w:val="pt-BR" w:eastAsia="en-GB"/>
        </w:rPr>
      </w:pPr>
      <w:r>
        <w:rPr>
          <w:rFonts w:eastAsia="Times"/>
          <w:sz w:val="20"/>
          <w:szCs w:val="20"/>
          <w:lang w:val="pt-BR" w:eastAsia="en-GB"/>
        </w:rPr>
        <w:t xml:space="preserve">Masalah gizi pada balita diantaranya adalah stunting, pada materi dijelaskan </w:t>
      </w:r>
    </w:p>
    <w:p>
      <w:pPr>
        <w:tabs>
          <w:tab w:val="left" w:pos="709"/>
        </w:tabs>
        <w:ind w:left="709"/>
        <w:contextualSpacing/>
        <w:jc w:val="both"/>
        <w:rPr>
          <w:sz w:val="20"/>
          <w:szCs w:val="20"/>
          <w:lang w:val="zh-CN" w:eastAsia="en-GB"/>
        </w:rPr>
      </w:pPr>
      <w:r>
        <w:rPr>
          <w:sz w:val="20"/>
          <w:szCs w:val="20"/>
          <w:lang w:val="zh-CN" w:eastAsia="en-GB"/>
        </w:rPr>
        <w:t xml:space="preserve">Defenisi stunting, faktor penyebab terjadinya stunting dan pencegahan stunting. </w:t>
      </w:r>
    </w:p>
    <w:p>
      <w:pPr>
        <w:numPr>
          <w:ilvl w:val="1"/>
          <w:numId w:val="9"/>
        </w:numPr>
        <w:tabs>
          <w:tab w:val="left" w:pos="709"/>
        </w:tabs>
        <w:ind w:left="709" w:hanging="425"/>
        <w:contextualSpacing/>
        <w:jc w:val="both"/>
        <w:rPr>
          <w:sz w:val="20"/>
          <w:szCs w:val="20"/>
          <w:lang w:val="en-GB" w:eastAsia="en-GB"/>
        </w:rPr>
      </w:pPr>
      <w:r>
        <w:rPr>
          <w:sz w:val="20"/>
          <w:szCs w:val="20"/>
          <w:lang w:val="en-GB" w:eastAsia="en-GB"/>
        </w:rPr>
        <w:t xml:space="preserve">Pentingnya gizi pada balita </w:t>
      </w:r>
    </w:p>
    <w:p>
      <w:pPr>
        <w:tabs>
          <w:tab w:val="left" w:pos="709"/>
        </w:tabs>
        <w:ind w:left="709"/>
        <w:contextualSpacing/>
        <w:jc w:val="both"/>
        <w:rPr>
          <w:sz w:val="20"/>
          <w:szCs w:val="20"/>
          <w:lang w:val="en-GB" w:eastAsia="en-GB"/>
        </w:rPr>
      </w:pPr>
      <w:r>
        <w:rPr>
          <w:sz w:val="20"/>
          <w:szCs w:val="20"/>
          <w:lang w:val="en-GB" w:eastAsia="en-GB"/>
        </w:rPr>
        <w:t xml:space="preserve">Ruang lingkup materi berisi pemberian nutrisi dari sumber makanan serta zat gizi pada masa balita bertujuan untuk mengoptimalkan pertumbuhan fisik maupun perkembangan kognitif sebagai suatu Upaya dalam pencegahan stunting. </w:t>
      </w:r>
    </w:p>
    <w:p>
      <w:pPr>
        <w:numPr>
          <w:ilvl w:val="1"/>
          <w:numId w:val="9"/>
        </w:numPr>
        <w:tabs>
          <w:tab w:val="left" w:pos="709"/>
        </w:tabs>
        <w:ind w:hanging="1156"/>
        <w:contextualSpacing/>
        <w:jc w:val="both"/>
        <w:rPr>
          <w:sz w:val="20"/>
          <w:szCs w:val="20"/>
          <w:lang w:val="en-GB" w:eastAsia="en-GB"/>
        </w:rPr>
      </w:pPr>
      <w:r>
        <w:rPr>
          <w:rFonts w:eastAsia="Times"/>
          <w:sz w:val="20"/>
          <w:szCs w:val="20"/>
          <w:lang w:val="en-GB" w:eastAsia="en-GB"/>
        </w:rPr>
        <w:t xml:space="preserve">Pemberian Makanan Tambahan (PMT) berbahan pangan lokal </w:t>
      </w:r>
    </w:p>
    <w:p>
      <w:pPr>
        <w:tabs>
          <w:tab w:val="left" w:pos="1276"/>
        </w:tabs>
        <w:ind w:left="709"/>
        <w:contextualSpacing/>
        <w:jc w:val="both"/>
        <w:rPr>
          <w:sz w:val="20"/>
          <w:szCs w:val="20"/>
          <w:shd w:val="clear" w:color="auto" w:fill="FFFFFF"/>
          <w:lang w:val="en-GB" w:eastAsia="en-GB"/>
        </w:rPr>
      </w:pPr>
      <w:r>
        <w:rPr>
          <w:sz w:val="20"/>
          <w:szCs w:val="20"/>
          <w:lang w:val="en-GB" w:eastAsia="en-GB"/>
        </w:rPr>
        <w:t>Memberikan pemahaman tentang makanan tambahan berbahan dasar pangan lokal untuk balita dalam bentuk makanan yang dikonsumsi oleh masyarakat setempat sesuai potensi dan kearifan lokal</w:t>
      </w:r>
      <w:r>
        <w:rPr>
          <w:sz w:val="20"/>
          <w:szCs w:val="20"/>
          <w:shd w:val="clear" w:color="auto" w:fill="FFFFFF"/>
          <w:lang w:val="en-GB" w:eastAsia="en-GB"/>
        </w:rPr>
        <w:t>. Pangan lokal dapat digunakan sebagai solusi untuk memenuhi kebutuhan pangan pada balita. Pengembangan pangan lokal dalam upaya memperkuat keragaman pangan dengan berbagai pangan alternatif.</w:t>
      </w:r>
    </w:p>
    <w:p>
      <w:pPr>
        <w:tabs>
          <w:tab w:val="left" w:pos="1985"/>
        </w:tabs>
        <w:ind w:left="709"/>
        <w:contextualSpacing/>
        <w:jc w:val="both"/>
        <w:rPr>
          <w:rFonts w:eastAsia="Times"/>
          <w:sz w:val="20"/>
          <w:szCs w:val="20"/>
          <w:lang w:val="en-GB" w:eastAsia="en-GB"/>
        </w:rPr>
      </w:pPr>
      <w:r>
        <w:rPr>
          <w:sz w:val="20"/>
          <w:szCs w:val="20"/>
          <w:lang w:val="en-GB" w:eastAsia="en-GB"/>
        </w:rPr>
        <w:t xml:space="preserve">Kabupaten Kampar merupakan </w:t>
      </w:r>
      <w:r>
        <w:rPr>
          <w:color w:val="040C28"/>
          <w:sz w:val="20"/>
          <w:szCs w:val="20"/>
          <w:lang w:val="en-GB" w:eastAsia="en-GB"/>
        </w:rPr>
        <w:t>salah satu tempat penghasil ikan patin di provinsi riau sehingga memungkinkan selalu tersedia</w:t>
      </w:r>
      <w:r>
        <w:rPr>
          <w:rFonts w:eastAsia="Times"/>
          <w:sz w:val="20"/>
          <w:szCs w:val="20"/>
          <w:lang w:val="en-GB" w:eastAsia="en-GB"/>
        </w:rPr>
        <w:t xml:space="preserve">. </w:t>
      </w:r>
      <w:r>
        <w:rPr>
          <w:color w:val="040C28"/>
          <w:sz w:val="20"/>
          <w:szCs w:val="20"/>
          <w:lang w:val="en-GB" w:eastAsia="en-GB"/>
        </w:rPr>
        <w:t xml:space="preserve">Kebutuhan gizi </w:t>
      </w:r>
      <w:r>
        <w:rPr>
          <w:sz w:val="20"/>
          <w:szCs w:val="20"/>
          <w:lang w:val="en-GB" w:eastAsia="en-GB"/>
        </w:rPr>
        <w:t xml:space="preserve">balita  antara lain adalah karbohidrat, protein, dan lemak maupun zat gizi mikro seperti mineral dan vitamin, </w:t>
      </w:r>
      <w:r>
        <w:rPr>
          <w:sz w:val="20"/>
          <w:szCs w:val="20"/>
          <w:shd w:val="clear" w:color="auto" w:fill="FFFFFF"/>
          <w:lang w:val="en-GB" w:eastAsia="en-GB"/>
        </w:rPr>
        <w:t xml:space="preserve"> oleh karena hal tersebut untuk meningkatkan nilai gizi dilakukan penambahan tempe pada produk karena tempe mengandung protein nabati dan 16 asam amino yang dibutuhkan oleh tubuh. </w:t>
      </w:r>
    </w:p>
    <w:p>
      <w:pPr>
        <w:ind w:left="709"/>
        <w:contextualSpacing/>
        <w:jc w:val="both"/>
        <w:rPr>
          <w:sz w:val="20"/>
          <w:szCs w:val="20"/>
          <w:shd w:val="clear" w:color="auto" w:fill="FFFFFF"/>
          <w:lang w:val="en-GB" w:eastAsia="en-GB"/>
        </w:rPr>
      </w:pPr>
      <w:r>
        <w:rPr>
          <w:sz w:val="20"/>
          <w:szCs w:val="20"/>
          <w:shd w:val="clear" w:color="auto" w:fill="FFFFFF"/>
          <w:lang w:val="en-GB" w:eastAsia="en-GB"/>
        </w:rPr>
        <w:t xml:space="preserve">Program pemberian makanan tambahan untuk balita di posyandu  adalah menyediakan makanan tambahan tinggi kalori dan protein yang dibutuhkan oleh balita sesuai dengan syarat yang telah ditentukan </w:t>
      </w:r>
      <w:r>
        <w:rPr>
          <w:sz w:val="20"/>
          <w:szCs w:val="20"/>
          <w:lang w:val="en-GB" w:eastAsia="en-GB"/>
        </w:rPr>
        <w:t>selain itu juga makanan yang disediakan dapat mengandung  serat, vitamin, dan mineral</w:t>
      </w:r>
      <w:r>
        <w:rPr>
          <w:sz w:val="20"/>
          <w:szCs w:val="20"/>
          <w:shd w:val="clear" w:color="auto" w:fill="FFFFFF"/>
          <w:lang w:val="en-GB" w:eastAsia="en-GB"/>
        </w:rPr>
        <w:t xml:space="preserve">. Selain itu, suatu makanan tambahan  dapat dikatakan sehat jika rendah lemak dan tidak banyak mengandung gula, termasuk pemanis buatan. Oleh karena hal tersebut maka dipilih  PMT dengan jenis nugget dengan bahan dasar ikan patin dan tempe. </w:t>
      </w:r>
    </w:p>
    <w:p>
      <w:pPr>
        <w:numPr>
          <w:ilvl w:val="1"/>
          <w:numId w:val="9"/>
        </w:numPr>
        <w:ind w:left="709" w:hanging="425"/>
        <w:contextualSpacing/>
        <w:jc w:val="both"/>
        <w:rPr>
          <w:sz w:val="20"/>
          <w:szCs w:val="20"/>
          <w:shd w:val="clear" w:color="auto" w:fill="FFFFFF"/>
          <w:lang w:val="en-GB" w:eastAsia="en-GB"/>
        </w:rPr>
      </w:pPr>
      <w:r>
        <w:rPr>
          <w:sz w:val="20"/>
          <w:szCs w:val="20"/>
          <w:shd w:val="clear" w:color="auto" w:fill="FFFFFF"/>
          <w:lang w:val="en-GB" w:eastAsia="en-GB"/>
        </w:rPr>
        <w:t xml:space="preserve">Tehnik penyuluhan </w:t>
      </w:r>
    </w:p>
    <w:p>
      <w:pPr>
        <w:tabs>
          <w:tab w:val="left" w:pos="709"/>
        </w:tabs>
        <w:ind w:left="709"/>
        <w:contextualSpacing/>
        <w:jc w:val="both"/>
        <w:rPr>
          <w:sz w:val="20"/>
          <w:szCs w:val="20"/>
          <w:shd w:val="clear" w:color="auto" w:fill="FFFFFF"/>
          <w:lang w:val="en-GB" w:eastAsia="en-GB"/>
        </w:rPr>
      </w:pPr>
      <w:r>
        <w:rPr>
          <w:sz w:val="20"/>
          <w:szCs w:val="20"/>
          <w:shd w:val="clear" w:color="auto" w:fill="FFFFFF"/>
          <w:lang w:val="en-GB" w:eastAsia="en-GB"/>
        </w:rPr>
        <w:t xml:space="preserve">Materi tentang tehnik penyuluhan di berikan pada kegiatan  ke 2. Materi yang diberikan berupa defenisi, syarat, jenis, metode, media, langkah-langkah penyuluhan, langkah menentukan sasaran penyuluhan, menentukan isi penyuluhan, menentukan media penyuluhan, Menyusun rencana evaluasi dan Menyusun rencana kerja.  Tehnik penyuluhan diberikan bertujuan agar kader lebih memahami dan dapat menerapkan ke Masyarakat pada saat penyuluhan tentang PMT berbahan dasar pangan lokal khususnya.  tehnik  penyuluhan yang tepat dapat menentukan keberhasilan dari suatu program. </w:t>
      </w:r>
    </w:p>
    <w:p>
      <w:pPr>
        <w:numPr>
          <w:ilvl w:val="1"/>
          <w:numId w:val="9"/>
        </w:numPr>
        <w:tabs>
          <w:tab w:val="left" w:pos="709"/>
          <w:tab w:val="left" w:pos="851"/>
        </w:tabs>
        <w:ind w:left="1167" w:hanging="883"/>
        <w:contextualSpacing/>
        <w:jc w:val="both"/>
        <w:rPr>
          <w:rFonts w:eastAsia="Times"/>
          <w:sz w:val="20"/>
          <w:szCs w:val="20"/>
          <w:lang w:val="en-GB" w:eastAsia="en-GB"/>
        </w:rPr>
      </w:pPr>
      <w:r>
        <w:rPr>
          <w:rFonts w:eastAsia="Times"/>
          <w:sz w:val="20"/>
          <w:szCs w:val="20"/>
          <w:lang w:val="en-GB" w:eastAsia="en-GB"/>
        </w:rPr>
        <w:t xml:space="preserve">Uji coba  snack sehat berbahan pangan local </w:t>
      </w:r>
    </w:p>
    <w:p>
      <w:pPr>
        <w:tabs>
          <w:tab w:val="left" w:pos="851"/>
        </w:tabs>
        <w:ind w:left="709"/>
        <w:contextualSpacing/>
        <w:jc w:val="both"/>
        <w:rPr>
          <w:rFonts w:eastAsia="Times"/>
          <w:sz w:val="20"/>
          <w:szCs w:val="20"/>
          <w:lang w:val="en-GB" w:eastAsia="en-GB"/>
        </w:rPr>
      </w:pPr>
      <w:r>
        <w:rPr>
          <w:rFonts w:eastAsia="Times"/>
          <w:sz w:val="20"/>
          <w:szCs w:val="20"/>
          <w:lang w:val="en-GB" w:eastAsia="en-GB"/>
        </w:rPr>
        <w:t>Uji coba pembuatan snack berbahan dasar pangan lokal  dilaksanakan di laboratorium pangan poltekkes kemenkes riau, adapun produk yang dibuat adalah nugget ikan patin dengan penambahan tempe (NUPATE)</w:t>
      </w:r>
    </w:p>
    <w:p>
      <w:pPr>
        <w:tabs>
          <w:tab w:val="left" w:pos="851"/>
        </w:tabs>
        <w:ind w:left="709"/>
        <w:contextualSpacing/>
        <w:jc w:val="both"/>
        <w:rPr>
          <w:rFonts w:eastAsia="Times"/>
          <w:sz w:val="20"/>
          <w:szCs w:val="20"/>
          <w:lang w:val="en-GB" w:eastAsia="en-GB"/>
        </w:rPr>
      </w:pPr>
      <w:r>
        <w:rPr>
          <w:rFonts w:eastAsia="Times"/>
          <w:sz w:val="20"/>
          <w:szCs w:val="20"/>
          <w:lang w:val="en-GB" w:eastAsia="en-GB"/>
        </w:rPr>
        <w:t xml:space="preserve"> Pembuatan Media Pembelajaran </w:t>
      </w:r>
    </w:p>
    <w:p>
      <w:pPr>
        <w:numPr>
          <w:ilvl w:val="0"/>
          <w:numId w:val="9"/>
        </w:numPr>
        <w:tabs>
          <w:tab w:val="left" w:pos="851"/>
          <w:tab w:val="left" w:pos="993"/>
          <w:tab w:val="left" w:pos="1701"/>
        </w:tabs>
        <w:ind w:left="426" w:hanging="426"/>
        <w:contextualSpacing/>
        <w:jc w:val="both"/>
        <w:rPr>
          <w:rFonts w:eastAsia="Times"/>
          <w:sz w:val="20"/>
          <w:szCs w:val="20"/>
          <w:lang w:val="en-GB" w:eastAsia="en-GB"/>
        </w:rPr>
      </w:pPr>
      <w:r>
        <w:rPr>
          <w:rFonts w:eastAsia="Times"/>
          <w:sz w:val="20"/>
          <w:szCs w:val="20"/>
          <w:lang w:val="en-GB" w:eastAsia="en-GB"/>
        </w:rPr>
        <w:t xml:space="preserve">Pengurusan Izin </w:t>
      </w:r>
    </w:p>
    <w:p>
      <w:pPr>
        <w:tabs>
          <w:tab w:val="left" w:pos="993"/>
          <w:tab w:val="left" w:pos="1701"/>
        </w:tabs>
        <w:ind w:left="426"/>
        <w:contextualSpacing/>
        <w:jc w:val="both"/>
        <w:rPr>
          <w:rFonts w:eastAsia="Times"/>
          <w:sz w:val="20"/>
          <w:szCs w:val="20"/>
          <w:lang w:val="en-GB" w:eastAsia="en-GB"/>
        </w:rPr>
      </w:pPr>
      <w:r>
        <w:rPr>
          <w:rFonts w:eastAsia="Times"/>
          <w:sz w:val="20"/>
          <w:szCs w:val="20"/>
          <w:lang w:val="en-GB" w:eastAsia="en-GB"/>
        </w:rPr>
        <w:tab/>
      </w:r>
      <w:r>
        <w:rPr>
          <w:rFonts w:eastAsia="Times"/>
          <w:sz w:val="20"/>
          <w:szCs w:val="20"/>
          <w:lang w:val="en-GB" w:eastAsia="en-GB"/>
        </w:rPr>
        <w:t>Pengurusan izin penelitian dilakukan mulai dari Poltekkes Riau , Dinas Kesehatan Kabupaten Kampar, Puskesmas Air Tiris dan Kantor Desa Ranah Singkuang.</w:t>
      </w:r>
    </w:p>
    <w:p>
      <w:pPr>
        <w:numPr>
          <w:ilvl w:val="0"/>
          <w:numId w:val="9"/>
        </w:numPr>
        <w:tabs>
          <w:tab w:val="left" w:pos="851"/>
          <w:tab w:val="left" w:pos="993"/>
          <w:tab w:val="left" w:pos="1701"/>
        </w:tabs>
        <w:ind w:left="425" w:hanging="426"/>
        <w:contextualSpacing/>
        <w:jc w:val="both"/>
        <w:rPr>
          <w:rFonts w:eastAsia="Times"/>
          <w:sz w:val="20"/>
          <w:szCs w:val="20"/>
          <w:lang w:val="en-GB" w:eastAsia="en-GB"/>
        </w:rPr>
      </w:pPr>
      <w:r>
        <w:rPr>
          <w:rFonts w:eastAsia="Times"/>
          <w:sz w:val="20"/>
          <w:szCs w:val="20"/>
          <w:lang w:val="en-GB" w:eastAsia="en-GB"/>
        </w:rPr>
        <w:t xml:space="preserve">Sosialisasi Kegiatan </w:t>
      </w:r>
    </w:p>
    <w:p>
      <w:pPr>
        <w:tabs>
          <w:tab w:val="left" w:pos="851"/>
          <w:tab w:val="left" w:pos="993"/>
        </w:tabs>
        <w:ind w:left="425"/>
        <w:jc w:val="both"/>
        <w:rPr>
          <w:rFonts w:eastAsia="Times"/>
          <w:sz w:val="20"/>
          <w:szCs w:val="20"/>
          <w:lang w:val="zh-CN"/>
        </w:rPr>
      </w:pPr>
      <w:r>
        <w:rPr>
          <w:rFonts w:eastAsia="Times"/>
          <w:sz w:val="20"/>
          <w:szCs w:val="20"/>
          <w:lang w:val="zh-CN"/>
        </w:rPr>
        <w:tab/>
      </w:r>
      <w:r>
        <w:rPr>
          <w:rFonts w:eastAsia="Times"/>
          <w:sz w:val="20"/>
          <w:szCs w:val="20"/>
          <w:lang w:val="zh-CN"/>
        </w:rPr>
        <w:t xml:space="preserve">Sosialisasi kegiatan bertujuan untuk melakukan </w:t>
      </w:r>
      <w:r>
        <w:rPr>
          <w:sz w:val="20"/>
          <w:szCs w:val="20"/>
          <w:shd w:val="clear" w:color="auto" w:fill="FFFFFF"/>
        </w:rPr>
        <w:t>pendampingan dan pelayanan </w:t>
      </w:r>
      <w:r>
        <w:rPr>
          <w:sz w:val="20"/>
          <w:szCs w:val="20"/>
        </w:rPr>
        <w:t xml:space="preserve">kepada masyarakat khususnya di daerah binaan Poltekkes Kemenkes  Riau serta </w:t>
      </w:r>
      <w:r>
        <w:rPr>
          <w:sz w:val="20"/>
          <w:szCs w:val="20"/>
          <w:shd w:val="clear" w:color="auto" w:fill="FFFFFF"/>
        </w:rPr>
        <w:t xml:space="preserve"> pengembangan dan pemberdayaan </w:t>
      </w:r>
      <w:r>
        <w:rPr>
          <w:sz w:val="20"/>
          <w:szCs w:val="20"/>
        </w:rPr>
        <w:t>masyarakat</w:t>
      </w:r>
      <w:r>
        <w:rPr>
          <w:sz w:val="20"/>
          <w:szCs w:val="20"/>
          <w:shd w:val="clear" w:color="auto" w:fill="FFFFFF"/>
        </w:rPr>
        <w:t> dalam bidang Kesehatan. Sosialisasi</w:t>
      </w:r>
      <w:r>
        <w:rPr>
          <w:rFonts w:eastAsia="Times"/>
          <w:sz w:val="20"/>
          <w:szCs w:val="20"/>
          <w:lang w:val="zh-CN"/>
        </w:rPr>
        <w:t xml:space="preserve"> dilakukan dengan cara mengumpulkan kelompok sasaran dan fasilitator lain dalam hal penyampaian informasi terkait  kegiatan yang akan dilakukan. </w:t>
      </w:r>
    </w:p>
    <w:p>
      <w:pPr>
        <w:numPr>
          <w:ilvl w:val="0"/>
          <w:numId w:val="9"/>
        </w:numPr>
        <w:tabs>
          <w:tab w:val="left" w:pos="426"/>
          <w:tab w:val="left" w:pos="851"/>
          <w:tab w:val="left" w:pos="993"/>
          <w:tab w:val="left" w:pos="1701"/>
        </w:tabs>
        <w:ind w:hanging="720"/>
        <w:contextualSpacing/>
        <w:jc w:val="both"/>
        <w:rPr>
          <w:rFonts w:eastAsia="Times"/>
          <w:sz w:val="20"/>
          <w:szCs w:val="20"/>
          <w:lang w:eastAsia="en-GB"/>
        </w:rPr>
      </w:pPr>
      <w:r>
        <w:rPr>
          <w:rFonts w:eastAsia="Times"/>
          <w:sz w:val="20"/>
          <w:szCs w:val="20"/>
          <w:lang w:val="en-GB" w:eastAsia="en-GB"/>
        </w:rPr>
        <w:t xml:space="preserve">Kegiatan Pengabdian Masyarakat </w:t>
      </w:r>
    </w:p>
    <w:p>
      <w:pPr>
        <w:ind w:left="426" w:firstLine="567"/>
        <w:contextualSpacing/>
        <w:jc w:val="both"/>
        <w:rPr>
          <w:rFonts w:eastAsia="Times"/>
          <w:sz w:val="20"/>
          <w:szCs w:val="20"/>
          <w:lang w:val="en-GB" w:eastAsia="en-GB"/>
        </w:rPr>
      </w:pPr>
      <w:r>
        <w:rPr>
          <w:rFonts w:eastAsia="Times"/>
          <w:sz w:val="20"/>
          <w:szCs w:val="20"/>
          <w:lang w:val="en-GB" w:eastAsia="en-GB"/>
        </w:rPr>
        <w:t xml:space="preserve">Kegiatan pengabdian masyarakat dibagi menjadi 3 kali pertemuan, pertemuan pertama dilakukan pre test terlebih dahulu sebelum kegiatan  penyuluhan tentang tehnik penyuluhan dengan menggunakan media PPT,  Media lain yang diberikan kepada kader dalam rangka  mendukung kelancaran program pengabdian Masyarakat adalah  modul dan leaflet. </w:t>
      </w:r>
    </w:p>
    <w:p>
      <w:pPr>
        <w:ind w:left="426" w:firstLine="567"/>
        <w:contextualSpacing/>
        <w:jc w:val="both"/>
        <w:rPr>
          <w:rFonts w:eastAsia="Times"/>
          <w:sz w:val="20"/>
          <w:szCs w:val="20"/>
          <w:lang w:val="en-GB" w:eastAsia="en-GB"/>
        </w:rPr>
      </w:pPr>
      <w:r>
        <w:rPr>
          <w:rFonts w:eastAsia="Times"/>
          <w:sz w:val="20"/>
          <w:szCs w:val="20"/>
          <w:lang w:val="en-GB" w:eastAsia="en-GB"/>
        </w:rPr>
        <w:t xml:space="preserve">Pertemuan kedua kembali dilakukan penyuluhan sekaligus praktek tehnik penyuluhan tentang PMT dengan cara dan media yang sama dengan kegiatan pertama sedangkan Kegiatan ketiga adalah demonstrasi pembuatan PMT berbahan dasar pangan lokal lewat pemutaran video. Uji coba resep sudah terlebih dahulu dilaksanakan  sampai mendapat formulasi yang tepat sebagai syarat dari PMT,   seperti  bentuk, bau, rasa dan tekstur serta telah dilakukan perhitungan nilai gizi dari PMT yang dihasilkan  dengan menggunakan  Tabel Komposisi Pangan Indonesia (TKPI) dan pengisian post test. Media yang digunakan selama pengabdian masyarakat antara lain adalah penyuluhan dengan menggunakan PPT, modul, leaflet dan video demonstrasi pembuatan PMT berbahan dasar pangan lokal. Materi yang digunakan selama pengabdian masyarakat berlangsung dapat diunduh pada link berikut: </w:t>
      </w:r>
      <w:r>
        <w:fldChar w:fldCharType="begin"/>
      </w:r>
      <w:r>
        <w:instrText xml:space="preserve"> HYPERLINK "http://bit.ly/PengabmasRanahSingkuang2023" </w:instrText>
      </w:r>
      <w:r>
        <w:fldChar w:fldCharType="separate"/>
      </w:r>
      <w:r>
        <w:rPr>
          <w:rFonts w:eastAsia="Times"/>
          <w:color w:val="0000FF"/>
          <w:sz w:val="20"/>
          <w:szCs w:val="20"/>
          <w:u w:val="single"/>
          <w:lang w:val="en-GB" w:eastAsia="en-GB"/>
        </w:rPr>
        <w:t>http://bit.ly/PengabmasRanahSingkuang2023</w:t>
      </w:r>
      <w:r>
        <w:rPr>
          <w:rFonts w:eastAsia="Times"/>
          <w:color w:val="0000FF"/>
          <w:sz w:val="20"/>
          <w:szCs w:val="20"/>
          <w:u w:val="single"/>
          <w:lang w:val="en-GB" w:eastAsia="en-GB"/>
        </w:rPr>
        <w:fldChar w:fldCharType="end"/>
      </w:r>
      <w:r>
        <w:rPr>
          <w:rFonts w:eastAsia="Times"/>
          <w:color w:val="0000FF"/>
          <w:sz w:val="20"/>
          <w:szCs w:val="20"/>
          <w:u w:val="single"/>
          <w:lang w:val="en-GB" w:eastAsia="en-GB"/>
        </w:rPr>
        <w:t xml:space="preserve">   </w:t>
      </w:r>
    </w:p>
    <w:p>
      <w:pPr>
        <w:numPr>
          <w:ilvl w:val="0"/>
          <w:numId w:val="9"/>
        </w:numPr>
        <w:tabs>
          <w:tab w:val="left" w:pos="426"/>
          <w:tab w:val="left" w:pos="1701"/>
        </w:tabs>
        <w:ind w:hanging="720"/>
        <w:contextualSpacing/>
        <w:jc w:val="both"/>
        <w:rPr>
          <w:rFonts w:eastAsia="Times"/>
          <w:sz w:val="20"/>
          <w:szCs w:val="20"/>
          <w:lang w:val="en-GB" w:eastAsia="en-GB"/>
        </w:rPr>
      </w:pPr>
      <w:r>
        <w:rPr>
          <w:rFonts w:eastAsia="Times"/>
          <w:sz w:val="20"/>
          <w:szCs w:val="20"/>
          <w:lang w:val="en-GB" w:eastAsia="en-GB"/>
        </w:rPr>
        <w:t xml:space="preserve">Melaksanakan kegiatan monitoring </w:t>
      </w:r>
    </w:p>
    <w:p>
      <w:pPr>
        <w:ind w:left="426" w:firstLine="708"/>
        <w:contextualSpacing/>
        <w:jc w:val="both"/>
        <w:rPr>
          <w:rFonts w:eastAsia="Times"/>
          <w:sz w:val="20"/>
          <w:szCs w:val="20"/>
          <w:lang w:val="en-GB" w:eastAsia="en-GB"/>
        </w:rPr>
      </w:pPr>
      <w:r>
        <w:rPr>
          <w:rFonts w:eastAsia="Times"/>
          <w:sz w:val="20"/>
          <w:szCs w:val="20"/>
          <w:lang w:val="en-GB" w:eastAsia="en-GB"/>
        </w:rPr>
        <w:t xml:space="preserve">Monitoring dilakukan untuk melihat apakah program dilaksanakan telah sesuai dengan yang telah direncanakan,  setelah kegiatan penyuluhan dan  demonstrasi pembuatan PMT berbahan dasar pangan local dilakukan evaluasi masing masing  posyandu apakah posyandu telah  menyediaan makanan tambahan berbahan dasar pangan lokal (Nupate), selain itu juga dilakukan advokasi kepada kepala desa serta pihak puskesmas terkait dengan kegiatan posyandu khususnya kegiatan pemantauan status gizi balita melalui pemberian makanan tambahan.   </w:t>
      </w:r>
    </w:p>
    <w:p>
      <w:pPr>
        <w:numPr>
          <w:ilvl w:val="0"/>
          <w:numId w:val="9"/>
        </w:numPr>
        <w:ind w:left="426" w:hanging="426"/>
        <w:contextualSpacing/>
        <w:jc w:val="both"/>
        <w:rPr>
          <w:rFonts w:eastAsia="Times"/>
          <w:sz w:val="20"/>
          <w:szCs w:val="20"/>
          <w:lang w:val="en-GB" w:eastAsia="en-GB"/>
        </w:rPr>
      </w:pPr>
      <w:r>
        <w:rPr>
          <w:rFonts w:eastAsia="Times"/>
          <w:sz w:val="20"/>
          <w:szCs w:val="20"/>
          <w:lang w:val="en-GB" w:eastAsia="en-GB"/>
        </w:rPr>
        <w:t xml:space="preserve">Melaksanakan Evaluasi  </w:t>
      </w:r>
    </w:p>
    <w:p>
      <w:pPr>
        <w:ind w:left="426" w:firstLine="708"/>
        <w:contextualSpacing/>
        <w:jc w:val="both"/>
        <w:rPr>
          <w:rFonts w:eastAsia="Times"/>
          <w:sz w:val="20"/>
          <w:szCs w:val="20"/>
          <w:lang w:val="en-GB" w:eastAsia="en-GB"/>
        </w:rPr>
      </w:pPr>
      <w:r>
        <w:rPr>
          <w:rFonts w:eastAsia="Times"/>
          <w:sz w:val="20"/>
          <w:szCs w:val="20"/>
          <w:lang w:val="en-GB" w:eastAsia="en-GB"/>
        </w:rPr>
        <w:t xml:space="preserve">Evaluasi kepada kader posyandu dilakukan setelah pelaksanaan  pengabdian masyarakat ,dengan cara membandingkan hasil pre-post test yaitu terjadi peningkatan pengetahuan tentang PMT.  Sedangkan hasil demonstrasi pembuatan PMT dapat dilihat dari  dari posyandu  yang telah  menyediakan makanan tambahan berbahan dasar pangan lokal.  </w:t>
      </w:r>
    </w:p>
    <w:p>
      <w:pPr>
        <w:numPr>
          <w:ilvl w:val="0"/>
          <w:numId w:val="9"/>
        </w:numPr>
        <w:ind w:left="426" w:hanging="426"/>
        <w:contextualSpacing/>
        <w:jc w:val="both"/>
        <w:rPr>
          <w:rFonts w:eastAsia="Times"/>
          <w:sz w:val="20"/>
          <w:szCs w:val="20"/>
          <w:lang w:val="en-GB" w:eastAsia="en-GB"/>
        </w:rPr>
      </w:pPr>
      <w:r>
        <w:rPr>
          <w:rFonts w:eastAsia="Times"/>
          <w:sz w:val="20"/>
          <w:szCs w:val="20"/>
          <w:lang w:val="en-GB" w:eastAsia="en-GB"/>
        </w:rPr>
        <w:t xml:space="preserve">Pembuatan Laporan Akhir </w:t>
      </w:r>
    </w:p>
    <w:p>
      <w:pPr>
        <w:ind w:left="426" w:firstLine="708"/>
        <w:contextualSpacing/>
        <w:jc w:val="both"/>
        <w:rPr>
          <w:rFonts w:eastAsia="Times"/>
          <w:sz w:val="20"/>
          <w:szCs w:val="20"/>
          <w:lang w:val="en-GB" w:eastAsia="en-GB"/>
        </w:rPr>
      </w:pPr>
      <w:r>
        <w:rPr>
          <w:rFonts w:eastAsia="Times"/>
          <w:sz w:val="20"/>
          <w:szCs w:val="20"/>
          <w:lang w:val="en-GB" w:eastAsia="en-GB"/>
        </w:rPr>
        <w:t>Laporan akhir dibuat berdasarkan kegiatan yang telah dilaksanakan mulai dari survey awal sampai dengan evaluasi hasil kegiatan.</w:t>
      </w:r>
    </w:p>
    <w:p>
      <w:pPr>
        <w:ind w:firstLine="720"/>
        <w:jc w:val="both"/>
        <w:rPr>
          <w:color w:val="000000"/>
          <w:sz w:val="20"/>
          <w:szCs w:val="20"/>
        </w:rPr>
      </w:pPr>
      <w:r>
        <w:rPr>
          <w:color w:val="000000"/>
          <w:sz w:val="20"/>
          <w:szCs w:val="20"/>
        </w:rPr>
        <w:t>Partisipasi mitra  (peserta kader posyandu, kepala puskesmas, penanggung jawab promosi Kesehatan dan bidan desa)  dalam pelaksanaan program pengabdian masyarakat ini adalah terlibat dalam kegiatan dan membantu dalam memfasilitasi dengan menyediakan sarana dan prasarana seperti infokus, sound system, kursi, ruangan, alat tulis dll. Upaya keberlanjutan program pengabdian masyarakat ini diwujudkan dengan menjadikan mitra sebagai binaan dalam bidang Kesehatan.   Kegiatan berkelanjutan sebagai sasaran umum adalah kegiatan pengembangan kader posyandu.</w:t>
      </w:r>
    </w:p>
    <w:p>
      <w:pPr>
        <w:ind w:firstLine="720"/>
        <w:jc w:val="both"/>
        <w:rPr>
          <w:color w:val="000000"/>
          <w:sz w:val="20"/>
          <w:szCs w:val="20"/>
        </w:rPr>
      </w:pPr>
      <w:r>
        <w:rPr>
          <w:color w:val="000000"/>
          <w:sz w:val="20"/>
          <w:szCs w:val="20"/>
        </w:rPr>
        <w:t>Pengabdian masyarakat dilaksanakan di Desa Ranah Singkuang, Kecamatan Kampar, Kabupaten Kampar Provinsi Riau. Kegiatan pengabdian kepada masyarakat ini direncanakan akan dilaksanakan  selama  8 bulan yaitu mulai  bulan Februari - bulan  September.</w:t>
      </w:r>
    </w:p>
    <w:p>
      <w:pPr>
        <w:pBdr>
          <w:top w:val="none" w:color="auto" w:sz="0" w:space="0"/>
          <w:left w:val="none" w:color="auto" w:sz="0" w:space="0"/>
          <w:bottom w:val="none" w:color="auto" w:sz="0" w:space="0"/>
          <w:right w:val="none" w:color="auto" w:sz="0" w:space="0"/>
          <w:between w:val="none" w:color="auto" w:sz="0" w:space="0"/>
        </w:pBdr>
        <w:jc w:val="both"/>
        <w:rPr>
          <w:b/>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color w:val="000000"/>
          <w:sz w:val="20"/>
          <w:szCs w:val="20"/>
        </w:rPr>
      </w:pPr>
      <w:r>
        <w:rPr>
          <w:b/>
          <w:color w:val="000000"/>
          <w:sz w:val="20"/>
          <w:szCs w:val="20"/>
        </w:rPr>
        <w:t>HASIL DAN PEMBAHASAN</w:t>
      </w:r>
    </w:p>
    <w:p>
      <w:pPr>
        <w:keepNext/>
        <w:jc w:val="both"/>
        <w:outlineLvl w:val="0"/>
        <w:rPr>
          <w:b/>
          <w:bCs/>
          <w:sz w:val="20"/>
          <w:szCs w:val="20"/>
        </w:rPr>
      </w:pPr>
      <w:r>
        <w:rPr>
          <w:b/>
          <w:bCs/>
          <w:sz w:val="20"/>
          <w:szCs w:val="20"/>
        </w:rPr>
        <w:t>A.</w:t>
      </w:r>
      <w:r>
        <w:rPr>
          <w:sz w:val="20"/>
          <w:szCs w:val="20"/>
        </w:rPr>
        <w:t xml:space="preserve">  </w:t>
      </w:r>
      <w:r>
        <w:rPr>
          <w:b/>
          <w:bCs/>
          <w:color w:val="000000"/>
          <w:sz w:val="20"/>
          <w:szCs w:val="20"/>
        </w:rPr>
        <w:t xml:space="preserve">Gambaran Umum Lokasi Pengabmas </w:t>
      </w:r>
    </w:p>
    <w:p>
      <w:pPr>
        <w:ind w:firstLine="720"/>
        <w:jc w:val="both"/>
        <w:rPr>
          <w:color w:val="000000"/>
          <w:sz w:val="20"/>
          <w:szCs w:val="20"/>
        </w:rPr>
      </w:pPr>
      <w:r>
        <w:rPr>
          <w:color w:val="000000"/>
          <w:sz w:val="20"/>
          <w:szCs w:val="20"/>
        </w:rPr>
        <w:t xml:space="preserve">Desa Ranah Singkuang merupakan pemekaran dari wilayah pemerintahan desa Penyasawan Kecamatan Kampar Kabupaten Kampar. Jarak desa Ranah Singkuang dengan Kecamatan sebagai pusat pemerintahan ± 5 Km, Ibukota Kabupaten ± 25 Km, sedangkan dengan Ibukota Provinsi ± 30 Km, secara georafis desa Ranah Singkuang berbatasan dengan : </w:t>
      </w:r>
    </w:p>
    <w:p>
      <w:pPr>
        <w:jc w:val="both"/>
        <w:rPr>
          <w:color w:val="000000"/>
          <w:sz w:val="20"/>
          <w:szCs w:val="20"/>
          <w:lang w:val="pt-BR"/>
        </w:rPr>
      </w:pPr>
      <w:r>
        <w:rPr>
          <w:color w:val="000000"/>
          <w:sz w:val="20"/>
          <w:szCs w:val="20"/>
          <w:lang w:val="pt-BR"/>
        </w:rPr>
        <w:t xml:space="preserve">1. Sebelah utara berbatasan dengan desa Penyasawan </w:t>
      </w:r>
    </w:p>
    <w:p>
      <w:pPr>
        <w:jc w:val="both"/>
        <w:rPr>
          <w:color w:val="000000"/>
          <w:sz w:val="20"/>
          <w:szCs w:val="20"/>
          <w:lang w:val="pt-BR"/>
        </w:rPr>
      </w:pPr>
      <w:r>
        <w:rPr>
          <w:color w:val="000000"/>
          <w:sz w:val="20"/>
          <w:szCs w:val="20"/>
          <w:lang w:val="pt-BR"/>
        </w:rPr>
        <w:t xml:space="preserve">2. Sebelah selatan berbatasan dengan desa Ranah </w:t>
      </w:r>
    </w:p>
    <w:p>
      <w:pPr>
        <w:jc w:val="both"/>
        <w:rPr>
          <w:color w:val="000000"/>
          <w:sz w:val="20"/>
          <w:szCs w:val="20"/>
          <w:lang w:val="pt-BR"/>
        </w:rPr>
      </w:pPr>
      <w:r>
        <w:rPr>
          <w:color w:val="000000"/>
          <w:sz w:val="20"/>
          <w:szCs w:val="20"/>
          <w:lang w:val="pt-BR"/>
        </w:rPr>
        <w:t xml:space="preserve">3. Sebelah timur berbatasan dengan desa Tanjung Berulak </w:t>
      </w:r>
    </w:p>
    <w:p>
      <w:pPr>
        <w:jc w:val="both"/>
        <w:rPr>
          <w:color w:val="000000"/>
          <w:sz w:val="20"/>
          <w:szCs w:val="20"/>
          <w:lang w:val="pt-BR"/>
        </w:rPr>
      </w:pPr>
      <w:r>
        <w:rPr>
          <w:color w:val="000000"/>
          <w:sz w:val="20"/>
          <w:szCs w:val="20"/>
          <w:lang w:val="pt-BR"/>
        </w:rPr>
        <w:t xml:space="preserve">4. Sebelah barat berbatasan dengan desa Simpang kubu </w:t>
      </w:r>
    </w:p>
    <w:p>
      <w:pPr>
        <w:ind w:firstLine="720"/>
        <w:jc w:val="both"/>
        <w:rPr>
          <w:b/>
          <w:color w:val="000000"/>
          <w:sz w:val="20"/>
          <w:szCs w:val="20"/>
          <w:lang w:val="pt-BR"/>
        </w:rPr>
      </w:pPr>
      <w:r>
        <w:rPr>
          <w:color w:val="000000"/>
          <w:sz w:val="20"/>
          <w:szCs w:val="20"/>
          <w:lang w:val="pt-BR"/>
        </w:rPr>
        <w:t>Desa Ranah Singkuang merupakan daerah yang memiliki posisi strategis dan mudah dijangkau terutama dengan jalur transportasi darat, sehingga mempermudah bagi pendatang maupun pedagang untuk datang ke desa Ranah Singkuang. Desa Ranah Singkuang adalah salah satu desa di Kecamatan Kampar, dengan penduduk 362 KK dan 1423 jiwa, 4 dusun dan 16 RT.</w:t>
      </w:r>
    </w:p>
    <w:p>
      <w:pPr>
        <w:numPr>
          <w:ilvl w:val="0"/>
          <w:numId w:val="10"/>
        </w:numPr>
        <w:ind w:left="360"/>
        <w:jc w:val="both"/>
        <w:rPr>
          <w:b/>
          <w:bCs/>
          <w:color w:val="000000"/>
          <w:sz w:val="20"/>
          <w:szCs w:val="20"/>
        </w:rPr>
      </w:pPr>
      <w:bookmarkStart w:id="2" w:name="_Toc142645625"/>
      <w:bookmarkStart w:id="3" w:name="_Toc142645664"/>
      <w:r>
        <w:rPr>
          <w:b/>
          <w:bCs/>
          <w:color w:val="000000"/>
          <w:sz w:val="20"/>
          <w:szCs w:val="20"/>
        </w:rPr>
        <w:t>Karakteristik Responden</w:t>
      </w:r>
      <w:bookmarkEnd w:id="2"/>
      <w:bookmarkEnd w:id="3"/>
    </w:p>
    <w:p>
      <w:pPr>
        <w:ind w:firstLine="720"/>
        <w:jc w:val="both"/>
        <w:rPr>
          <w:color w:val="000000"/>
          <w:sz w:val="20"/>
          <w:szCs w:val="20"/>
        </w:rPr>
      </w:pPr>
      <w:r>
        <w:rPr>
          <w:color w:val="000000"/>
          <w:sz w:val="20"/>
          <w:szCs w:val="20"/>
        </w:rPr>
        <w:t>Pengabdian masyarakat ini diikuti oleh  kader di  Desa Ranah Singkuang Kabupaten Kampar yang juga melibatkan ahli gizi, bidan desa, bidan koordinator serta penanggung jawab program promosi kesehatan. Jumlah ibu kader yang mengikuti kegiatan pengabdian masyarakat adalah  17 orang</w:t>
      </w:r>
      <w:bookmarkStart w:id="4" w:name="_heading=h.3whwml4"/>
      <w:bookmarkEnd w:id="4"/>
      <w:r>
        <w:rPr>
          <w:color w:val="000000"/>
          <w:sz w:val="20"/>
          <w:szCs w:val="20"/>
        </w:rPr>
        <w:t>.</w:t>
      </w:r>
    </w:p>
    <w:p>
      <w:pPr>
        <w:ind w:firstLine="720"/>
        <w:jc w:val="both"/>
        <w:rPr>
          <w:color w:val="000000"/>
          <w:sz w:val="20"/>
          <w:szCs w:val="20"/>
        </w:rPr>
      </w:pPr>
      <w:r>
        <w:rPr>
          <w:color w:val="000000"/>
          <w:sz w:val="20"/>
          <w:szCs w:val="20"/>
        </w:rPr>
        <w:t>Karakteristik responden berdasarkan, usia, tingkat pendidikan dan jenis pekerj</w:t>
      </w:r>
      <w:bookmarkStart w:id="5" w:name="_Toc142640328"/>
      <w:r>
        <w:rPr>
          <w:color w:val="000000"/>
          <w:sz w:val="20"/>
          <w:szCs w:val="20"/>
        </w:rPr>
        <w:t>aan dapat dilihat pada Tabel 1.</w:t>
      </w:r>
      <w:bookmarkStart w:id="6" w:name="_Toc145717568"/>
    </w:p>
    <w:bookmarkEnd w:id="5"/>
    <w:bookmarkEnd w:id="6"/>
    <w:p>
      <w:pPr>
        <w:widowControl w:val="0"/>
        <w:kinsoku w:val="0"/>
        <w:autoSpaceDE w:val="0"/>
        <w:autoSpaceDN w:val="0"/>
        <w:adjustRightInd w:val="0"/>
        <w:jc w:val="both"/>
        <w:rPr>
          <w:sz w:val="20"/>
          <w:szCs w:val="20"/>
          <w:lang w:eastAsia="id-ID"/>
        </w:rPr>
      </w:pPr>
      <w:r>
        <w:rPr>
          <w:sz w:val="20"/>
          <w:szCs w:val="20"/>
          <w:lang w:val="id-ID" w:eastAsia="id-ID"/>
        </w:rPr>
        <w:t xml:space="preserve">Tabel 1. </w:t>
      </w:r>
      <w:r>
        <w:rPr>
          <w:color w:val="000000"/>
          <w:sz w:val="20"/>
          <w:szCs w:val="20"/>
          <w:lang w:val="id-ID" w:eastAsia="id-ID"/>
        </w:rPr>
        <w:t>Karakteristik Responden</w:t>
      </w:r>
    </w:p>
    <w:tbl>
      <w:tblPr>
        <w:tblStyle w:val="2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2977"/>
        <w:gridCol w:w="269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Borders>
              <w:top w:val="single" w:color="auto" w:sz="4" w:space="0"/>
              <w:bottom w:val="single" w:color="auto" w:sz="4" w:space="0"/>
            </w:tcBorders>
          </w:tcPr>
          <w:p>
            <w:pPr>
              <w:widowControl w:val="0"/>
              <w:kinsoku w:val="0"/>
              <w:autoSpaceDE w:val="0"/>
              <w:autoSpaceDN w:val="0"/>
              <w:adjustRightInd w:val="0"/>
              <w:jc w:val="center"/>
              <w:rPr>
                <w:sz w:val="20"/>
                <w:szCs w:val="20"/>
                <w:lang w:eastAsia="id-ID"/>
              </w:rPr>
            </w:pPr>
            <w:bookmarkStart w:id="7" w:name="_Hlk20657818"/>
            <w:r>
              <w:rPr>
                <w:b/>
                <w:color w:val="000000"/>
                <w:sz w:val="20"/>
                <w:szCs w:val="20"/>
                <w:lang w:val="id-ID" w:eastAsia="id-ID"/>
              </w:rPr>
              <w:t>Karakteristik</w:t>
            </w:r>
          </w:p>
        </w:tc>
        <w:tc>
          <w:tcPr>
            <w:tcW w:w="2977" w:type="dxa"/>
            <w:tcBorders>
              <w:top w:val="single" w:color="auto" w:sz="4" w:space="0"/>
              <w:bottom w:val="single" w:color="auto" w:sz="4" w:space="0"/>
            </w:tcBorders>
          </w:tcPr>
          <w:p>
            <w:pPr>
              <w:widowControl w:val="0"/>
              <w:kinsoku w:val="0"/>
              <w:autoSpaceDE w:val="0"/>
              <w:autoSpaceDN w:val="0"/>
              <w:adjustRightInd w:val="0"/>
              <w:jc w:val="center"/>
              <w:rPr>
                <w:sz w:val="20"/>
                <w:szCs w:val="20"/>
                <w:lang w:eastAsia="id-ID"/>
              </w:rPr>
            </w:pPr>
            <w:r>
              <w:rPr>
                <w:b/>
                <w:color w:val="000000"/>
                <w:sz w:val="20"/>
                <w:szCs w:val="20"/>
                <w:lang w:val="id-ID" w:eastAsia="id-ID"/>
              </w:rPr>
              <w:t>N</w:t>
            </w:r>
          </w:p>
        </w:tc>
        <w:tc>
          <w:tcPr>
            <w:tcW w:w="2693" w:type="dxa"/>
            <w:tcBorders>
              <w:top w:val="single" w:color="auto" w:sz="4" w:space="0"/>
              <w:bottom w:val="single" w:color="auto" w:sz="4" w:space="0"/>
            </w:tcBorders>
          </w:tcPr>
          <w:p>
            <w:pPr>
              <w:widowControl w:val="0"/>
              <w:kinsoku w:val="0"/>
              <w:autoSpaceDE w:val="0"/>
              <w:autoSpaceDN w:val="0"/>
              <w:adjustRightInd w:val="0"/>
              <w:jc w:val="center"/>
              <w:rPr>
                <w:sz w:val="20"/>
                <w:szCs w:val="20"/>
                <w:lang w:eastAsia="id-ID"/>
              </w:rPr>
            </w:pPr>
            <w:r>
              <w:rPr>
                <w:b/>
                <w:color w:val="000000"/>
                <w:sz w:val="20"/>
                <w:szCs w:val="20"/>
                <w:lang w:val="id-ID" w:eastAsia="id-ID"/>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Borders>
              <w:top w:val="single" w:color="auto" w:sz="4" w:space="0"/>
            </w:tcBorders>
          </w:tcPr>
          <w:p>
            <w:pPr>
              <w:jc w:val="center"/>
              <w:rPr>
                <w:b/>
                <w:color w:val="000000"/>
                <w:sz w:val="20"/>
                <w:szCs w:val="20"/>
              </w:rPr>
            </w:pPr>
            <w:r>
              <w:rPr>
                <w:b/>
                <w:color w:val="000000"/>
                <w:sz w:val="20"/>
                <w:szCs w:val="20"/>
              </w:rPr>
              <w:t>Usia</w:t>
            </w:r>
          </w:p>
          <w:p>
            <w:pPr>
              <w:jc w:val="center"/>
              <w:rPr>
                <w:color w:val="000000"/>
                <w:sz w:val="20"/>
                <w:szCs w:val="20"/>
              </w:rPr>
            </w:pPr>
            <w:r>
              <w:rPr>
                <w:color w:val="000000"/>
                <w:sz w:val="20"/>
                <w:szCs w:val="20"/>
              </w:rPr>
              <w:t>20-29 tahun</w:t>
            </w:r>
          </w:p>
          <w:p>
            <w:pPr>
              <w:jc w:val="center"/>
              <w:rPr>
                <w:color w:val="000000"/>
                <w:sz w:val="20"/>
                <w:szCs w:val="20"/>
              </w:rPr>
            </w:pPr>
            <w:r>
              <w:rPr>
                <w:color w:val="000000"/>
                <w:sz w:val="20"/>
                <w:szCs w:val="20"/>
              </w:rPr>
              <w:t>30-39 tahun</w:t>
            </w:r>
          </w:p>
          <w:p>
            <w:pPr>
              <w:widowControl w:val="0"/>
              <w:kinsoku w:val="0"/>
              <w:autoSpaceDE w:val="0"/>
              <w:autoSpaceDN w:val="0"/>
              <w:adjustRightInd w:val="0"/>
              <w:jc w:val="center"/>
              <w:rPr>
                <w:sz w:val="20"/>
                <w:szCs w:val="20"/>
                <w:lang w:eastAsia="id-ID"/>
              </w:rPr>
            </w:pPr>
            <w:r>
              <w:rPr>
                <w:b/>
                <w:color w:val="000000"/>
                <w:sz w:val="20"/>
                <w:szCs w:val="20"/>
                <w:lang w:val="id-ID" w:eastAsia="id-ID"/>
              </w:rPr>
              <w:t>Pendidikan</w:t>
            </w:r>
          </w:p>
        </w:tc>
        <w:tc>
          <w:tcPr>
            <w:tcW w:w="2977" w:type="dxa"/>
            <w:tcBorders>
              <w:top w:val="single" w:color="auto" w:sz="4" w:space="0"/>
            </w:tcBorders>
            <w:vAlign w:val="center"/>
          </w:tcPr>
          <w:p>
            <w:pPr>
              <w:ind w:firstLine="720"/>
              <w:jc w:val="center"/>
              <w:rPr>
                <w:b/>
                <w:color w:val="000000"/>
                <w:sz w:val="20"/>
                <w:szCs w:val="20"/>
              </w:rPr>
            </w:pPr>
          </w:p>
          <w:p>
            <w:pPr>
              <w:jc w:val="center"/>
              <w:rPr>
                <w:color w:val="000000"/>
                <w:sz w:val="20"/>
                <w:szCs w:val="20"/>
              </w:rPr>
            </w:pPr>
            <w:r>
              <w:rPr>
                <w:color w:val="000000"/>
                <w:sz w:val="20"/>
                <w:szCs w:val="20"/>
              </w:rPr>
              <w:t>7</w:t>
            </w:r>
          </w:p>
          <w:p>
            <w:pPr>
              <w:jc w:val="center"/>
              <w:rPr>
                <w:color w:val="000000"/>
                <w:sz w:val="20"/>
                <w:szCs w:val="20"/>
              </w:rPr>
            </w:pPr>
            <w:r>
              <w:rPr>
                <w:color w:val="000000"/>
                <w:sz w:val="20"/>
                <w:szCs w:val="20"/>
              </w:rPr>
              <w:t>10</w:t>
            </w:r>
          </w:p>
          <w:p>
            <w:pPr>
              <w:widowControl w:val="0"/>
              <w:kinsoku w:val="0"/>
              <w:autoSpaceDE w:val="0"/>
              <w:autoSpaceDN w:val="0"/>
              <w:adjustRightInd w:val="0"/>
              <w:jc w:val="center"/>
              <w:rPr>
                <w:sz w:val="20"/>
                <w:szCs w:val="20"/>
                <w:lang w:val="id-ID" w:eastAsia="id-ID"/>
              </w:rPr>
            </w:pPr>
          </w:p>
        </w:tc>
        <w:tc>
          <w:tcPr>
            <w:tcW w:w="2693" w:type="dxa"/>
            <w:tcBorders>
              <w:top w:val="single" w:color="auto" w:sz="4" w:space="0"/>
            </w:tcBorders>
            <w:vAlign w:val="center"/>
          </w:tcPr>
          <w:p>
            <w:pPr>
              <w:ind w:firstLine="720"/>
              <w:jc w:val="center"/>
              <w:rPr>
                <w:b/>
                <w:color w:val="000000"/>
                <w:sz w:val="20"/>
                <w:szCs w:val="20"/>
              </w:rPr>
            </w:pPr>
          </w:p>
          <w:p>
            <w:pPr>
              <w:jc w:val="center"/>
              <w:rPr>
                <w:color w:val="000000"/>
                <w:sz w:val="20"/>
                <w:szCs w:val="20"/>
              </w:rPr>
            </w:pPr>
            <w:r>
              <w:rPr>
                <w:color w:val="000000"/>
                <w:sz w:val="20"/>
                <w:szCs w:val="20"/>
              </w:rPr>
              <w:t>41,0</w:t>
            </w:r>
          </w:p>
          <w:p>
            <w:pPr>
              <w:jc w:val="center"/>
              <w:rPr>
                <w:color w:val="000000"/>
                <w:sz w:val="20"/>
                <w:szCs w:val="20"/>
              </w:rPr>
            </w:pPr>
            <w:r>
              <w:rPr>
                <w:color w:val="000000"/>
                <w:sz w:val="20"/>
                <w:szCs w:val="20"/>
              </w:rPr>
              <w:t>59,0</w:t>
            </w:r>
          </w:p>
          <w:p>
            <w:pPr>
              <w:widowControl w:val="0"/>
              <w:kinsoku w:val="0"/>
              <w:autoSpaceDE w:val="0"/>
              <w:autoSpaceDN w:val="0"/>
              <w:adjustRightInd w:val="0"/>
              <w:jc w:val="center"/>
              <w:rPr>
                <w:sz w:val="20"/>
                <w:szCs w:val="20"/>
                <w:lang w:val="id-ID" w:eastAsia="id-ID"/>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jc w:val="center"/>
              <w:rPr>
                <w:color w:val="000000"/>
                <w:sz w:val="20"/>
                <w:szCs w:val="20"/>
              </w:rPr>
            </w:pPr>
            <w:r>
              <w:rPr>
                <w:color w:val="000000"/>
                <w:sz w:val="20"/>
                <w:szCs w:val="20"/>
              </w:rPr>
              <w:t>SMP</w:t>
            </w:r>
          </w:p>
          <w:p>
            <w:pPr>
              <w:jc w:val="center"/>
              <w:rPr>
                <w:color w:val="000000"/>
                <w:sz w:val="20"/>
                <w:szCs w:val="20"/>
              </w:rPr>
            </w:pPr>
            <w:r>
              <w:rPr>
                <w:color w:val="000000"/>
                <w:sz w:val="20"/>
                <w:szCs w:val="20"/>
              </w:rPr>
              <w:t>SMA</w:t>
            </w:r>
          </w:p>
          <w:p>
            <w:pPr>
              <w:widowControl w:val="0"/>
              <w:kinsoku w:val="0"/>
              <w:autoSpaceDE w:val="0"/>
              <w:autoSpaceDN w:val="0"/>
              <w:adjustRightInd w:val="0"/>
              <w:jc w:val="center"/>
              <w:rPr>
                <w:sz w:val="20"/>
                <w:szCs w:val="20"/>
                <w:lang w:eastAsia="id-ID"/>
              </w:rPr>
            </w:pPr>
            <w:r>
              <w:rPr>
                <w:color w:val="000000"/>
                <w:sz w:val="20"/>
                <w:szCs w:val="20"/>
                <w:lang w:val="id-ID" w:eastAsia="id-ID"/>
              </w:rPr>
              <w:t>D3</w:t>
            </w:r>
          </w:p>
        </w:tc>
        <w:tc>
          <w:tcPr>
            <w:tcW w:w="2977" w:type="dxa"/>
            <w:vAlign w:val="center"/>
          </w:tcPr>
          <w:p>
            <w:pPr>
              <w:jc w:val="center"/>
              <w:rPr>
                <w:color w:val="000000"/>
                <w:sz w:val="20"/>
                <w:szCs w:val="20"/>
              </w:rPr>
            </w:pPr>
            <w:r>
              <w:rPr>
                <w:color w:val="000000"/>
                <w:sz w:val="20"/>
                <w:szCs w:val="20"/>
              </w:rPr>
              <w:t>3</w:t>
            </w:r>
          </w:p>
          <w:p>
            <w:pPr>
              <w:jc w:val="center"/>
              <w:rPr>
                <w:color w:val="000000"/>
                <w:sz w:val="20"/>
                <w:szCs w:val="20"/>
              </w:rPr>
            </w:pPr>
            <w:r>
              <w:rPr>
                <w:color w:val="000000"/>
                <w:sz w:val="20"/>
                <w:szCs w:val="20"/>
              </w:rPr>
              <w:t>12</w:t>
            </w:r>
          </w:p>
          <w:p>
            <w:pPr>
              <w:widowControl w:val="0"/>
              <w:kinsoku w:val="0"/>
              <w:autoSpaceDE w:val="0"/>
              <w:autoSpaceDN w:val="0"/>
              <w:adjustRightInd w:val="0"/>
              <w:jc w:val="center"/>
              <w:rPr>
                <w:sz w:val="20"/>
                <w:szCs w:val="20"/>
                <w:lang w:val="id-ID" w:eastAsia="id-ID"/>
              </w:rPr>
            </w:pPr>
            <w:r>
              <w:rPr>
                <w:color w:val="000000"/>
                <w:sz w:val="20"/>
                <w:szCs w:val="20"/>
                <w:lang w:val="id-ID" w:eastAsia="id-ID"/>
              </w:rPr>
              <w:t>2</w:t>
            </w:r>
          </w:p>
        </w:tc>
        <w:tc>
          <w:tcPr>
            <w:tcW w:w="2693" w:type="dxa"/>
            <w:vAlign w:val="center"/>
          </w:tcPr>
          <w:p>
            <w:pPr>
              <w:jc w:val="center"/>
              <w:rPr>
                <w:color w:val="000000"/>
                <w:sz w:val="20"/>
                <w:szCs w:val="20"/>
              </w:rPr>
            </w:pPr>
            <w:r>
              <w:rPr>
                <w:color w:val="000000"/>
                <w:sz w:val="20"/>
                <w:szCs w:val="20"/>
              </w:rPr>
              <w:t>17,6</w:t>
            </w:r>
          </w:p>
          <w:p>
            <w:pPr>
              <w:jc w:val="center"/>
              <w:rPr>
                <w:color w:val="000000"/>
                <w:sz w:val="20"/>
                <w:szCs w:val="20"/>
              </w:rPr>
            </w:pPr>
            <w:r>
              <w:rPr>
                <w:color w:val="000000"/>
                <w:sz w:val="20"/>
                <w:szCs w:val="20"/>
              </w:rPr>
              <w:t>70,5</w:t>
            </w:r>
          </w:p>
          <w:p>
            <w:pPr>
              <w:widowControl w:val="0"/>
              <w:kinsoku w:val="0"/>
              <w:autoSpaceDE w:val="0"/>
              <w:autoSpaceDN w:val="0"/>
              <w:adjustRightInd w:val="0"/>
              <w:jc w:val="center"/>
              <w:rPr>
                <w:sz w:val="20"/>
                <w:szCs w:val="20"/>
                <w:lang w:val="id-ID" w:eastAsia="id-ID"/>
              </w:rPr>
            </w:pPr>
            <w:r>
              <w:rPr>
                <w:color w:val="000000"/>
                <w:sz w:val="20"/>
                <w:szCs w:val="20"/>
                <w:lang w:val="id-ID" w:eastAsia="id-ID"/>
              </w:rPr>
              <w:t>11,7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pPr>
              <w:jc w:val="center"/>
              <w:rPr>
                <w:b/>
                <w:color w:val="000000"/>
                <w:sz w:val="20"/>
                <w:szCs w:val="20"/>
              </w:rPr>
            </w:pPr>
            <w:r>
              <w:rPr>
                <w:b/>
                <w:color w:val="000000"/>
                <w:sz w:val="20"/>
                <w:szCs w:val="20"/>
              </w:rPr>
              <w:t>Pekerjaan</w:t>
            </w:r>
          </w:p>
          <w:p>
            <w:pPr>
              <w:jc w:val="center"/>
              <w:rPr>
                <w:color w:val="000000"/>
                <w:sz w:val="20"/>
                <w:szCs w:val="20"/>
              </w:rPr>
            </w:pPr>
            <w:r>
              <w:rPr>
                <w:color w:val="000000"/>
                <w:sz w:val="20"/>
                <w:szCs w:val="20"/>
              </w:rPr>
              <w:t>IRT</w:t>
            </w:r>
          </w:p>
          <w:p>
            <w:pPr>
              <w:widowControl w:val="0"/>
              <w:kinsoku w:val="0"/>
              <w:autoSpaceDE w:val="0"/>
              <w:autoSpaceDN w:val="0"/>
              <w:adjustRightInd w:val="0"/>
              <w:jc w:val="center"/>
              <w:rPr>
                <w:sz w:val="20"/>
                <w:szCs w:val="20"/>
                <w:lang w:eastAsia="id-ID"/>
              </w:rPr>
            </w:pPr>
            <w:r>
              <w:rPr>
                <w:color w:val="000000"/>
                <w:sz w:val="20"/>
                <w:szCs w:val="20"/>
                <w:lang w:val="id-ID" w:eastAsia="id-ID"/>
              </w:rPr>
              <w:t>Tenaga Honorer</w:t>
            </w:r>
          </w:p>
        </w:tc>
        <w:tc>
          <w:tcPr>
            <w:tcW w:w="2977" w:type="dxa"/>
            <w:vAlign w:val="center"/>
          </w:tcPr>
          <w:p>
            <w:pPr>
              <w:ind w:firstLine="720"/>
              <w:jc w:val="center"/>
              <w:rPr>
                <w:b/>
                <w:color w:val="000000"/>
                <w:sz w:val="20"/>
                <w:szCs w:val="20"/>
              </w:rPr>
            </w:pPr>
          </w:p>
          <w:p>
            <w:pPr>
              <w:jc w:val="center"/>
              <w:rPr>
                <w:color w:val="000000"/>
                <w:sz w:val="20"/>
                <w:szCs w:val="20"/>
              </w:rPr>
            </w:pPr>
            <w:r>
              <w:rPr>
                <w:color w:val="000000"/>
                <w:sz w:val="20"/>
                <w:szCs w:val="20"/>
              </w:rPr>
              <w:t>15</w:t>
            </w:r>
          </w:p>
          <w:p>
            <w:pPr>
              <w:widowControl w:val="0"/>
              <w:kinsoku w:val="0"/>
              <w:autoSpaceDE w:val="0"/>
              <w:autoSpaceDN w:val="0"/>
              <w:adjustRightInd w:val="0"/>
              <w:jc w:val="center"/>
              <w:rPr>
                <w:sz w:val="20"/>
                <w:szCs w:val="20"/>
                <w:lang w:val="id-ID" w:eastAsia="id-ID"/>
              </w:rPr>
            </w:pPr>
            <w:r>
              <w:rPr>
                <w:color w:val="000000"/>
                <w:sz w:val="20"/>
                <w:szCs w:val="20"/>
                <w:lang w:val="id-ID" w:eastAsia="id-ID"/>
              </w:rPr>
              <w:t>2</w:t>
            </w:r>
          </w:p>
        </w:tc>
        <w:tc>
          <w:tcPr>
            <w:tcW w:w="2693" w:type="dxa"/>
            <w:vAlign w:val="center"/>
          </w:tcPr>
          <w:p>
            <w:pPr>
              <w:ind w:firstLine="720"/>
              <w:jc w:val="center"/>
              <w:rPr>
                <w:b/>
                <w:color w:val="000000"/>
                <w:sz w:val="20"/>
                <w:szCs w:val="20"/>
              </w:rPr>
            </w:pPr>
          </w:p>
          <w:p>
            <w:pPr>
              <w:jc w:val="center"/>
              <w:rPr>
                <w:color w:val="000000"/>
                <w:sz w:val="20"/>
                <w:szCs w:val="20"/>
              </w:rPr>
            </w:pPr>
            <w:r>
              <w:rPr>
                <w:color w:val="000000"/>
                <w:sz w:val="20"/>
                <w:szCs w:val="20"/>
              </w:rPr>
              <w:t>88,2</w:t>
            </w:r>
          </w:p>
          <w:p>
            <w:pPr>
              <w:widowControl w:val="0"/>
              <w:kinsoku w:val="0"/>
              <w:autoSpaceDE w:val="0"/>
              <w:autoSpaceDN w:val="0"/>
              <w:adjustRightInd w:val="0"/>
              <w:jc w:val="center"/>
              <w:rPr>
                <w:sz w:val="20"/>
                <w:szCs w:val="20"/>
                <w:lang w:val="id-ID" w:eastAsia="id-ID"/>
              </w:rPr>
            </w:pPr>
            <w:r>
              <w:rPr>
                <w:color w:val="000000"/>
                <w:sz w:val="20"/>
                <w:szCs w:val="20"/>
                <w:lang w:val="id-ID" w:eastAsia="id-ID"/>
              </w:rPr>
              <w:t>11,8</w:t>
            </w:r>
          </w:p>
        </w:tc>
      </w:tr>
      <w:bookmarkEnd w:id="7"/>
    </w:tbl>
    <w:p>
      <w:pPr>
        <w:ind w:firstLine="720"/>
        <w:jc w:val="both"/>
        <w:rPr>
          <w:color w:val="000000"/>
          <w:sz w:val="20"/>
          <w:szCs w:val="20"/>
        </w:rPr>
      </w:pPr>
      <w:r>
        <w:rPr>
          <w:color w:val="000000"/>
          <w:sz w:val="20"/>
          <w:szCs w:val="20"/>
        </w:rPr>
        <w:t xml:space="preserve">Pada tabel diatas dapat dilihat bahwa untuk kisaran usia ibu kader paling banyak adalah berusia antara 30 sampai 39 tahun sebanyak 10 orang (59,0%)  dan untuk tingkat pendidikan  terbanyak adalah SMA sebanyak 12 orang (70,5%) ) dan pendidikan tertinggi adalah D-3 yaitu sebanyak 2 orang (11,7%), sedangkan sebagian besar pekerjaan ibu kader adalah Ibu rumah tangga yaitu sebanyak 15 orang (88,2%). </w:t>
      </w:r>
    </w:p>
    <w:p>
      <w:pPr>
        <w:numPr>
          <w:ilvl w:val="0"/>
          <w:numId w:val="11"/>
        </w:numPr>
        <w:ind w:left="360"/>
        <w:jc w:val="both"/>
        <w:rPr>
          <w:b/>
          <w:color w:val="000000"/>
          <w:sz w:val="20"/>
          <w:szCs w:val="20"/>
        </w:rPr>
      </w:pPr>
      <w:r>
        <w:rPr>
          <w:b/>
          <w:color w:val="000000"/>
          <w:sz w:val="20"/>
          <w:szCs w:val="20"/>
        </w:rPr>
        <w:t>Survey Pendahuluan</w:t>
      </w:r>
      <w:r>
        <w:rPr>
          <w:b/>
          <w:color w:val="000000"/>
          <w:sz w:val="20"/>
          <w:szCs w:val="20"/>
        </w:rPr>
        <w:tab/>
      </w:r>
    </w:p>
    <w:p>
      <w:pPr>
        <w:ind w:firstLine="720"/>
        <w:jc w:val="both"/>
        <w:rPr>
          <w:color w:val="000000"/>
          <w:sz w:val="20"/>
          <w:szCs w:val="20"/>
        </w:rPr>
      </w:pPr>
      <w:r>
        <w:rPr>
          <w:color w:val="000000"/>
          <w:sz w:val="20"/>
          <w:szCs w:val="20"/>
        </w:rPr>
        <w:t xml:space="preserve">Pelaksanaan kegiatan masyarakat diawali dengan survey pendahuluan ke Desa Ranah Singkuang yang bertujuan untuk melihat keadaan wilayah, kader, PMT, serta data mengenai balita </w:t>
      </w:r>
      <w:r>
        <w:rPr>
          <w:i/>
          <w:color w:val="000000"/>
          <w:sz w:val="20"/>
          <w:szCs w:val="20"/>
        </w:rPr>
        <w:t>stunting</w:t>
      </w:r>
      <w:r>
        <w:rPr>
          <w:color w:val="000000"/>
          <w:sz w:val="20"/>
          <w:szCs w:val="20"/>
        </w:rPr>
        <w:t xml:space="preserve"> di desa tersebut, kemudian dilanjutkan dengan nota kesepahaman (MoU) antara pihak Poltekkes Kemenkes Riau dengan Desa Ranah Singkuang.</w:t>
      </w:r>
    </w:p>
    <w:p>
      <w:pPr>
        <w:shd w:val="clear" w:color="auto" w:fill="FFFFFF" w:themeFill="background1"/>
        <w:ind w:firstLine="720"/>
        <w:jc w:val="both"/>
        <w:rPr>
          <w:color w:val="000000"/>
          <w:sz w:val="20"/>
          <w:szCs w:val="20"/>
        </w:rPr>
      </w:pPr>
      <w:r>
        <w:rPr>
          <w:color w:val="000000"/>
          <w:sz w:val="20"/>
          <w:szCs w:val="20"/>
        </w:rPr>
        <w:t xml:space="preserve">Berdasarkan hasil survey pendahuluan, diketahui Desa Ranah Singkuang memiliki 2 posyandu (Permata bunda dan kasih ibu) yang selalu menyajikan PMT untuk bayi dan balita, namun PMT yang disajikan masih belum bervariasi,  hanya terdiri dari 2 macam yaitu bubur sumsum dan bubur kacang hijau yang diberikan secara bergantian setiap bulannya.  </w:t>
      </w:r>
    </w:p>
    <w:p>
      <w:pPr>
        <w:shd w:val="clear" w:color="auto" w:fill="FFFFFF" w:themeFill="background1"/>
        <w:ind w:firstLine="720"/>
        <w:jc w:val="both"/>
        <w:rPr>
          <w:color w:val="000000"/>
          <w:sz w:val="20"/>
          <w:szCs w:val="20"/>
        </w:rPr>
      </w:pPr>
      <w:r>
        <w:rPr>
          <w:color w:val="000000"/>
          <w:sz w:val="20"/>
          <w:szCs w:val="20"/>
        </w:rPr>
        <w:t xml:space="preserve">Survey pendahuluan dilaksanakan oleh tim pengabdian masyarakat pada   tanggal </w:t>
      </w:r>
      <w:r>
        <w:rPr>
          <w:color w:val="000000"/>
          <w:sz w:val="20"/>
          <w:szCs w:val="20"/>
          <w:shd w:val="clear" w:color="auto" w:fill="FFFFFF" w:themeFill="background1"/>
        </w:rPr>
        <w:t>13 Januari  2023</w:t>
      </w:r>
      <w:r>
        <w:rPr>
          <w:color w:val="000000"/>
          <w:sz w:val="20"/>
          <w:szCs w:val="20"/>
        </w:rPr>
        <w:t>.  Tim bertemu dengan kepala desa, sekertaris desa, kepala puskesmas, kepala tata usaha puskesmas, penanggung jawab promosi kesehatan, bidan desa, bidan koordinator, ahli gizi puskesmas, dan 17 kader posyandu dari Desa Ranah Singkuang.</w:t>
      </w:r>
    </w:p>
    <w:p>
      <w:pPr>
        <w:numPr>
          <w:ilvl w:val="0"/>
          <w:numId w:val="12"/>
        </w:numPr>
        <w:ind w:left="360"/>
        <w:jc w:val="both"/>
        <w:rPr>
          <w:b/>
          <w:bCs/>
          <w:color w:val="000000"/>
          <w:sz w:val="20"/>
          <w:szCs w:val="20"/>
        </w:rPr>
      </w:pPr>
      <w:bookmarkStart w:id="8" w:name="_Toc142645665"/>
      <w:bookmarkStart w:id="9" w:name="_Toc142645626"/>
      <w:r>
        <w:rPr>
          <w:b/>
          <w:bCs/>
          <w:color w:val="000000"/>
          <w:sz w:val="20"/>
          <w:szCs w:val="20"/>
        </w:rPr>
        <w:t>Uji Coba Resep dan Uji Proksimat</w:t>
      </w:r>
      <w:bookmarkEnd w:id="8"/>
      <w:bookmarkEnd w:id="9"/>
      <w:r>
        <w:rPr>
          <w:b/>
          <w:bCs/>
          <w:color w:val="000000"/>
          <w:sz w:val="20"/>
          <w:szCs w:val="20"/>
        </w:rPr>
        <w:t xml:space="preserve"> </w:t>
      </w:r>
    </w:p>
    <w:p>
      <w:pPr>
        <w:ind w:firstLine="720"/>
        <w:jc w:val="both"/>
        <w:rPr>
          <w:color w:val="000000"/>
          <w:sz w:val="20"/>
          <w:szCs w:val="20"/>
        </w:rPr>
      </w:pPr>
      <w:r>
        <w:rPr>
          <w:color w:val="000000"/>
          <w:sz w:val="20"/>
          <w:szCs w:val="20"/>
        </w:rPr>
        <w:t xml:space="preserve">Pembuatan produk </w:t>
      </w:r>
      <w:r>
        <w:rPr>
          <w:i/>
          <w:color w:val="000000"/>
          <w:sz w:val="20"/>
          <w:szCs w:val="20"/>
        </w:rPr>
        <w:t xml:space="preserve">PMT </w:t>
      </w:r>
      <w:r>
        <w:rPr>
          <w:iCs/>
          <w:color w:val="000000"/>
          <w:sz w:val="20"/>
          <w:szCs w:val="20"/>
        </w:rPr>
        <w:t>berbahan dasar pangan lokal</w:t>
      </w:r>
      <w:r>
        <w:rPr>
          <w:i/>
          <w:color w:val="000000"/>
          <w:sz w:val="20"/>
          <w:szCs w:val="20"/>
        </w:rPr>
        <w:t xml:space="preserve"> </w:t>
      </w:r>
      <w:r>
        <w:rPr>
          <w:color w:val="000000"/>
          <w:sz w:val="20"/>
          <w:szCs w:val="20"/>
        </w:rPr>
        <w:t xml:space="preserve">dilakukan di laboratorium terpadu Poltekkes Kemenkes Riau sampai mendapatkan PMT yang sesuai dengan syarat, kemudian dilanjutkan dengan pembuatan video dengan link </w:t>
      </w:r>
      <w:r>
        <w:fldChar w:fldCharType="begin"/>
      </w:r>
      <w:r>
        <w:instrText xml:space="preserve"> HYPERLINK "http://bit.ly/PengabmasRanahSingkuang2023" </w:instrText>
      </w:r>
      <w:r>
        <w:fldChar w:fldCharType="separate"/>
      </w:r>
      <w:r>
        <w:rPr>
          <w:color w:val="0000FF"/>
          <w:sz w:val="20"/>
          <w:szCs w:val="20"/>
          <w:u w:val="single"/>
        </w:rPr>
        <w:t>http://bit.ly/PengabmasRanahSingkuang2023</w:t>
      </w:r>
      <w:r>
        <w:rPr>
          <w:color w:val="0000FF"/>
          <w:sz w:val="20"/>
          <w:szCs w:val="20"/>
          <w:u w:val="single"/>
        </w:rPr>
        <w:fldChar w:fldCharType="end"/>
      </w:r>
    </w:p>
    <w:p>
      <w:pPr>
        <w:ind w:firstLine="720"/>
        <w:jc w:val="both"/>
        <w:rPr>
          <w:color w:val="000000"/>
          <w:sz w:val="20"/>
          <w:szCs w:val="20"/>
        </w:rPr>
      </w:pPr>
      <w:r>
        <w:rPr>
          <w:color w:val="000000"/>
          <w:sz w:val="20"/>
          <w:szCs w:val="20"/>
        </w:rPr>
        <w:t>Hasil perhitungan nugget ikan patin dengan penambahan tempe adalah  mengandung 17.23% protein, 9.31% lemak, 21,26% karbohidrat, 50.00% kadar air dan 2.19% kadar abu, nugget yang dihasilkan telah memenuhi SNI 01-6683-2002.</w:t>
      </w:r>
    </w:p>
    <w:p>
      <w:pPr>
        <w:numPr>
          <w:ilvl w:val="0"/>
          <w:numId w:val="12"/>
        </w:numPr>
        <w:ind w:left="360"/>
        <w:jc w:val="both"/>
        <w:rPr>
          <w:b/>
          <w:bCs/>
          <w:color w:val="000000"/>
          <w:sz w:val="20"/>
          <w:szCs w:val="20"/>
        </w:rPr>
      </w:pPr>
      <w:bookmarkStart w:id="10" w:name="_Toc142645666"/>
      <w:bookmarkStart w:id="11" w:name="_Toc142645627"/>
      <w:r>
        <w:rPr>
          <w:b/>
          <w:bCs/>
          <w:color w:val="000000"/>
          <w:sz w:val="20"/>
          <w:szCs w:val="20"/>
        </w:rPr>
        <w:t>Pre-test</w:t>
      </w:r>
      <w:bookmarkEnd w:id="10"/>
      <w:bookmarkEnd w:id="11"/>
    </w:p>
    <w:p>
      <w:pPr>
        <w:ind w:firstLine="720"/>
        <w:jc w:val="both"/>
        <w:rPr>
          <w:sz w:val="20"/>
          <w:szCs w:val="20"/>
        </w:rPr>
      </w:pPr>
      <w:r>
        <w:rPr>
          <w:color w:val="000000"/>
          <w:sz w:val="20"/>
          <w:szCs w:val="20"/>
        </w:rPr>
        <w:t xml:space="preserve">Sebelum dilakukan penyuluhan kegiatan pengabdian masyarakat yang paling awal adalah melaksanakan pretest terhadap 17 orang  kader yang berasal dari 2 posyandu di Desa Ranah Singkuang. </w:t>
      </w:r>
      <w:r>
        <w:rPr>
          <w:i/>
          <w:color w:val="000000"/>
          <w:sz w:val="20"/>
          <w:szCs w:val="20"/>
        </w:rPr>
        <w:t>Pre-test</w:t>
      </w:r>
      <w:r>
        <w:rPr>
          <w:color w:val="000000"/>
          <w:sz w:val="20"/>
          <w:szCs w:val="20"/>
        </w:rPr>
        <w:t xml:space="preserve"> ini bertujuan untuk mengukur tingkat pemahaman kader terkait pengetahuan gizi, stunting, balita, dan PMT berbahan dasar pangan lokal. Berdasarkan hasil </w:t>
      </w:r>
      <w:r>
        <w:rPr>
          <w:i/>
          <w:color w:val="000000"/>
          <w:sz w:val="20"/>
          <w:szCs w:val="20"/>
        </w:rPr>
        <w:t>pre test</w:t>
      </w:r>
      <w:r>
        <w:rPr>
          <w:color w:val="000000"/>
          <w:sz w:val="20"/>
          <w:szCs w:val="20"/>
        </w:rPr>
        <w:t xml:space="preserve"> didapatkan </w:t>
      </w:r>
      <w:r>
        <w:rPr>
          <w:sz w:val="20"/>
          <w:szCs w:val="20"/>
        </w:rPr>
        <w:t>rata-rata skor pengetahuan kader adalah 65. Berikut hasil pre-test yang telah dilaksankan:</w:t>
      </w:r>
    </w:p>
    <w:p>
      <w:pPr>
        <w:widowControl w:val="0"/>
        <w:kinsoku w:val="0"/>
        <w:autoSpaceDE w:val="0"/>
        <w:autoSpaceDN w:val="0"/>
        <w:adjustRightInd w:val="0"/>
        <w:jc w:val="both"/>
        <w:rPr>
          <w:sz w:val="20"/>
          <w:szCs w:val="20"/>
          <w:lang w:eastAsia="id-ID"/>
        </w:rPr>
      </w:pPr>
      <w:r>
        <w:rPr>
          <w:sz w:val="20"/>
          <w:szCs w:val="20"/>
          <w:lang w:val="id-ID" w:eastAsia="id-ID"/>
        </w:rPr>
        <w:t xml:space="preserve">Tabel </w:t>
      </w:r>
      <w:r>
        <w:rPr>
          <w:sz w:val="20"/>
          <w:szCs w:val="20"/>
          <w:lang w:eastAsia="id-ID"/>
        </w:rPr>
        <w:t>2</w:t>
      </w:r>
      <w:r>
        <w:rPr>
          <w:sz w:val="20"/>
          <w:szCs w:val="20"/>
          <w:lang w:val="id-ID" w:eastAsia="id-ID"/>
        </w:rPr>
        <w:t xml:space="preserve">. </w:t>
      </w:r>
      <w:r>
        <w:rPr>
          <w:color w:val="000000"/>
          <w:sz w:val="20"/>
          <w:szCs w:val="20"/>
          <w:lang w:val="id-ID" w:eastAsia="id-ID"/>
        </w:rPr>
        <w:t>Hasil Skor Pre Test</w:t>
      </w:r>
    </w:p>
    <w:tbl>
      <w:tblPr>
        <w:tblStyle w:val="21"/>
        <w:tblW w:w="918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78"/>
        <w:gridCol w:w="340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78" w:type="dxa"/>
            <w:tcBorders>
              <w:top w:val="single" w:color="auto" w:sz="4" w:space="0"/>
              <w:bottom w:val="single" w:color="auto" w:sz="4" w:space="0"/>
            </w:tcBorders>
            <w:vAlign w:val="center"/>
          </w:tcPr>
          <w:p>
            <w:pPr>
              <w:widowControl w:val="0"/>
              <w:kinsoku w:val="0"/>
              <w:autoSpaceDE w:val="0"/>
              <w:autoSpaceDN w:val="0"/>
              <w:adjustRightInd w:val="0"/>
              <w:jc w:val="center"/>
              <w:rPr>
                <w:sz w:val="20"/>
                <w:szCs w:val="20"/>
                <w:lang w:eastAsia="id-ID"/>
              </w:rPr>
            </w:pPr>
            <w:r>
              <w:rPr>
                <w:b/>
                <w:color w:val="000000"/>
                <w:sz w:val="20"/>
                <w:szCs w:val="20"/>
                <w:lang w:val="id-ID" w:eastAsia="id-ID"/>
              </w:rPr>
              <w:t>Skor</w:t>
            </w:r>
          </w:p>
        </w:tc>
        <w:tc>
          <w:tcPr>
            <w:tcW w:w="3402" w:type="dxa"/>
            <w:tcBorders>
              <w:top w:val="single" w:color="auto" w:sz="4" w:space="0"/>
              <w:bottom w:val="single" w:color="auto" w:sz="4" w:space="0"/>
            </w:tcBorders>
            <w:vAlign w:val="center"/>
          </w:tcPr>
          <w:p>
            <w:pPr>
              <w:widowControl w:val="0"/>
              <w:kinsoku w:val="0"/>
              <w:autoSpaceDE w:val="0"/>
              <w:autoSpaceDN w:val="0"/>
              <w:adjustRightInd w:val="0"/>
              <w:jc w:val="center"/>
              <w:rPr>
                <w:sz w:val="20"/>
                <w:szCs w:val="20"/>
                <w:lang w:eastAsia="id-ID"/>
              </w:rPr>
            </w:pPr>
            <w:r>
              <w:rPr>
                <w:b/>
                <w:color w:val="000000"/>
                <w:sz w:val="20"/>
                <w:szCs w:val="20"/>
                <w:lang w:val="id-ID" w:eastAsia="id-ID"/>
              </w:rPr>
              <w:t>Jumlah orang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78" w:type="dxa"/>
            <w:tcBorders>
              <w:top w:val="single" w:color="auto" w:sz="4" w:space="0"/>
            </w:tcBorders>
            <w:vAlign w:val="center"/>
          </w:tcPr>
          <w:p>
            <w:pPr>
              <w:widowControl w:val="0"/>
              <w:kinsoku w:val="0"/>
              <w:autoSpaceDE w:val="0"/>
              <w:autoSpaceDN w:val="0"/>
              <w:adjustRightInd w:val="0"/>
              <w:jc w:val="center"/>
              <w:rPr>
                <w:sz w:val="20"/>
                <w:szCs w:val="20"/>
                <w:lang w:eastAsia="id-ID"/>
              </w:rPr>
            </w:pPr>
            <w:r>
              <w:rPr>
                <w:color w:val="000000"/>
                <w:sz w:val="20"/>
                <w:szCs w:val="20"/>
                <w:lang w:val="id-ID" w:eastAsia="id-ID"/>
              </w:rPr>
              <w:t>70</w:t>
            </w:r>
          </w:p>
        </w:tc>
        <w:tc>
          <w:tcPr>
            <w:tcW w:w="3402" w:type="dxa"/>
            <w:tcBorders>
              <w:top w:val="single" w:color="auto" w:sz="4" w:space="0"/>
            </w:tcBorders>
            <w:vAlign w:val="center"/>
          </w:tcPr>
          <w:p>
            <w:pPr>
              <w:widowControl w:val="0"/>
              <w:kinsoku w:val="0"/>
              <w:autoSpaceDE w:val="0"/>
              <w:autoSpaceDN w:val="0"/>
              <w:adjustRightInd w:val="0"/>
              <w:jc w:val="center"/>
              <w:rPr>
                <w:sz w:val="20"/>
                <w:szCs w:val="20"/>
                <w:lang w:val="id-ID" w:eastAsia="id-ID"/>
              </w:rPr>
            </w:pPr>
            <w:r>
              <w:rPr>
                <w:color w:val="000000"/>
                <w:sz w:val="20"/>
                <w:szCs w:val="20"/>
                <w:lang w:val="id-ID" w:eastAsia="id-ID"/>
              </w:rPr>
              <w:t>4 orang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78" w:type="dxa"/>
            <w:vAlign w:val="center"/>
          </w:tcPr>
          <w:p>
            <w:pPr>
              <w:widowControl w:val="0"/>
              <w:kinsoku w:val="0"/>
              <w:autoSpaceDE w:val="0"/>
              <w:autoSpaceDN w:val="0"/>
              <w:adjustRightInd w:val="0"/>
              <w:jc w:val="center"/>
              <w:rPr>
                <w:sz w:val="20"/>
                <w:szCs w:val="20"/>
                <w:lang w:eastAsia="id-ID"/>
              </w:rPr>
            </w:pPr>
            <w:r>
              <w:rPr>
                <w:color w:val="000000"/>
                <w:sz w:val="20"/>
                <w:szCs w:val="20"/>
                <w:lang w:val="id-ID" w:eastAsia="id-ID"/>
              </w:rPr>
              <w:t>65</w:t>
            </w:r>
          </w:p>
        </w:tc>
        <w:tc>
          <w:tcPr>
            <w:tcW w:w="3402" w:type="dxa"/>
            <w:vAlign w:val="center"/>
          </w:tcPr>
          <w:p>
            <w:pPr>
              <w:widowControl w:val="0"/>
              <w:kinsoku w:val="0"/>
              <w:autoSpaceDE w:val="0"/>
              <w:autoSpaceDN w:val="0"/>
              <w:adjustRightInd w:val="0"/>
              <w:jc w:val="center"/>
              <w:rPr>
                <w:sz w:val="20"/>
                <w:szCs w:val="20"/>
                <w:lang w:val="id-ID" w:eastAsia="id-ID"/>
              </w:rPr>
            </w:pPr>
            <w:r>
              <w:rPr>
                <w:color w:val="000000"/>
                <w:sz w:val="20"/>
                <w:szCs w:val="20"/>
                <w:lang w:val="id-ID" w:eastAsia="id-ID"/>
              </w:rPr>
              <w:t>9  orang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78" w:type="dxa"/>
            <w:vAlign w:val="center"/>
          </w:tcPr>
          <w:p>
            <w:pPr>
              <w:widowControl w:val="0"/>
              <w:kinsoku w:val="0"/>
              <w:autoSpaceDE w:val="0"/>
              <w:autoSpaceDN w:val="0"/>
              <w:adjustRightInd w:val="0"/>
              <w:jc w:val="center"/>
              <w:rPr>
                <w:sz w:val="20"/>
                <w:szCs w:val="20"/>
                <w:lang w:eastAsia="id-ID"/>
              </w:rPr>
            </w:pPr>
            <w:r>
              <w:rPr>
                <w:color w:val="000000"/>
                <w:sz w:val="20"/>
                <w:szCs w:val="20"/>
                <w:lang w:val="id-ID" w:eastAsia="id-ID"/>
              </w:rPr>
              <w:t>60</w:t>
            </w:r>
          </w:p>
        </w:tc>
        <w:tc>
          <w:tcPr>
            <w:tcW w:w="3402" w:type="dxa"/>
            <w:vAlign w:val="center"/>
          </w:tcPr>
          <w:p>
            <w:pPr>
              <w:widowControl w:val="0"/>
              <w:kinsoku w:val="0"/>
              <w:autoSpaceDE w:val="0"/>
              <w:autoSpaceDN w:val="0"/>
              <w:adjustRightInd w:val="0"/>
              <w:jc w:val="center"/>
              <w:rPr>
                <w:sz w:val="20"/>
                <w:szCs w:val="20"/>
                <w:lang w:val="id-ID" w:eastAsia="id-ID"/>
              </w:rPr>
            </w:pPr>
            <w:r>
              <w:rPr>
                <w:color w:val="000000"/>
                <w:sz w:val="20"/>
                <w:szCs w:val="20"/>
                <w:lang w:val="id-ID" w:eastAsia="id-ID"/>
              </w:rPr>
              <w:t>3 orang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78" w:type="dxa"/>
            <w:vAlign w:val="center"/>
          </w:tcPr>
          <w:p>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55</w:t>
            </w:r>
          </w:p>
        </w:tc>
        <w:tc>
          <w:tcPr>
            <w:tcW w:w="3402" w:type="dxa"/>
            <w:vAlign w:val="center"/>
          </w:tcPr>
          <w:p>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1 orang</w:t>
            </w:r>
          </w:p>
        </w:tc>
      </w:tr>
    </w:tbl>
    <w:p>
      <w:pPr>
        <w:ind w:firstLine="720"/>
        <w:jc w:val="both"/>
        <w:rPr>
          <w:color w:val="000000"/>
          <w:sz w:val="20"/>
          <w:szCs w:val="20"/>
        </w:rPr>
      </w:pPr>
      <w:r>
        <w:rPr>
          <w:color w:val="000000"/>
          <w:sz w:val="20"/>
          <w:szCs w:val="20"/>
        </w:rPr>
        <w:t>Berdasarkan tabel 2, hasil</w:t>
      </w:r>
      <w:r>
        <w:rPr>
          <w:i/>
          <w:color w:val="000000"/>
          <w:sz w:val="20"/>
          <w:szCs w:val="20"/>
        </w:rPr>
        <w:t xml:space="preserve"> pre test</w:t>
      </w:r>
      <w:r>
        <w:rPr>
          <w:color w:val="000000"/>
          <w:sz w:val="20"/>
          <w:szCs w:val="20"/>
        </w:rPr>
        <w:t xml:space="preserve"> pada kader posyandu Desa Ranah Singkuang dari 17 orang kader didapatkan sebanyak 4 orang kader mendapatkan skor tertinggi yakni 70 sedangkan  mayoritas kader yaitu 9 orang mendapat skor 65.  </w:t>
      </w:r>
    </w:p>
    <w:p>
      <w:pPr>
        <w:ind w:firstLine="720"/>
        <w:jc w:val="both"/>
        <w:rPr>
          <w:color w:val="000000"/>
          <w:sz w:val="20"/>
          <w:szCs w:val="20"/>
          <w:lang w:val="id-ID"/>
        </w:rPr>
      </w:pPr>
      <w:r>
        <w:rPr>
          <w:color w:val="000000"/>
          <w:sz w:val="20"/>
          <w:szCs w:val="20"/>
          <w:lang w:val="id-ID"/>
        </w:rPr>
        <w:t xml:space="preserve">Pelaksanaan pre-test bertujuan untuk mengukur tingkat pemahaman kader   terkait </w:t>
      </w:r>
      <w:r>
        <w:rPr>
          <w:color w:val="000000"/>
          <w:sz w:val="20"/>
          <w:szCs w:val="20"/>
        </w:rPr>
        <w:t xml:space="preserve">pengetahuan gizi dan PMT, </w:t>
      </w:r>
      <w:r>
        <w:rPr>
          <w:color w:val="000000"/>
          <w:sz w:val="20"/>
          <w:szCs w:val="20"/>
          <w:lang w:val="id-ID"/>
        </w:rPr>
        <w:t xml:space="preserve">sebelum dilakukannya </w:t>
      </w:r>
      <w:r>
        <w:rPr>
          <w:color w:val="000000"/>
          <w:sz w:val="20"/>
          <w:szCs w:val="20"/>
        </w:rPr>
        <w:t xml:space="preserve">penyuluhan </w:t>
      </w:r>
      <w:r>
        <w:rPr>
          <w:color w:val="000000"/>
          <w:sz w:val="20"/>
          <w:szCs w:val="20"/>
          <w:lang w:val="id-ID"/>
        </w:rPr>
        <w:t>dan demonstrasi. Berdasarkan hasil pre-test didapatkan rata-rata skor pengetahuan kader adalah 6</w:t>
      </w:r>
      <w:r>
        <w:rPr>
          <w:color w:val="000000"/>
          <w:sz w:val="20"/>
          <w:szCs w:val="20"/>
        </w:rPr>
        <w:t>5</w:t>
      </w:r>
      <w:r>
        <w:rPr>
          <w:color w:val="000000"/>
          <w:sz w:val="20"/>
          <w:szCs w:val="20"/>
          <w:lang w:val="id-ID"/>
        </w:rPr>
        <w:t xml:space="preserve"> dengan kriteria cukup (skor 55-70).</w:t>
      </w:r>
    </w:p>
    <w:p>
      <w:pPr>
        <w:ind w:firstLine="720"/>
        <w:jc w:val="both"/>
        <w:rPr>
          <w:color w:val="000000"/>
          <w:sz w:val="20"/>
          <w:szCs w:val="20"/>
          <w:lang w:val="id-ID"/>
        </w:rPr>
      </w:pPr>
      <w:r>
        <w:rPr>
          <w:color w:val="000000"/>
          <w:sz w:val="20"/>
          <w:szCs w:val="20"/>
          <w:lang w:val="id-ID"/>
        </w:rPr>
        <w:t xml:space="preserve">Selama pengisian pre test ibu kader mengerjakan masing masing sehingga nilai yang dihasilkan merupakan cerminan dari tingkat pengetahuan tentang PMT sebelum dilakukan pengabdian Masyarakat. </w:t>
      </w:r>
    </w:p>
    <w:p>
      <w:pPr>
        <w:numPr>
          <w:ilvl w:val="0"/>
          <w:numId w:val="12"/>
        </w:numPr>
        <w:ind w:left="360"/>
        <w:jc w:val="both"/>
        <w:rPr>
          <w:b/>
          <w:bCs/>
          <w:color w:val="000000"/>
          <w:sz w:val="20"/>
          <w:szCs w:val="20"/>
        </w:rPr>
      </w:pPr>
      <w:bookmarkStart w:id="12" w:name="_heading=h.1pxezwc"/>
      <w:bookmarkEnd w:id="12"/>
      <w:bookmarkStart w:id="13" w:name="_Toc142645628"/>
      <w:bookmarkStart w:id="14" w:name="_Toc142645667"/>
      <w:r>
        <w:rPr>
          <w:b/>
          <w:bCs/>
          <w:color w:val="000000"/>
          <w:sz w:val="20"/>
          <w:szCs w:val="20"/>
        </w:rPr>
        <w:t>Edukasi Gizi tentang PMT</w:t>
      </w:r>
      <w:bookmarkEnd w:id="13"/>
      <w:bookmarkEnd w:id="14"/>
      <w:bookmarkStart w:id="15" w:name="_heading=h.37m2jsg"/>
      <w:bookmarkEnd w:id="15"/>
    </w:p>
    <w:p>
      <w:pPr>
        <w:ind w:firstLine="720"/>
        <w:jc w:val="both"/>
        <w:rPr>
          <w:b/>
          <w:bCs/>
          <w:color w:val="000000"/>
          <w:sz w:val="20"/>
          <w:szCs w:val="20"/>
          <w:lang w:val="id-ID"/>
        </w:rPr>
      </w:pPr>
      <w:r>
        <w:rPr>
          <w:color w:val="000000"/>
          <w:sz w:val="20"/>
          <w:szCs w:val="20"/>
          <w:lang w:val="id-ID"/>
        </w:rPr>
        <w:t>Kegiatan  pengabmas selanjutnya adalah edukasi mengunakan metode penyuluhan yang berisi materi tentang penyuluhan, pengetahuan gizi, balita, stunting, dan PMT.</w:t>
      </w:r>
      <w:r>
        <w:rPr>
          <w:i/>
          <w:color w:val="000000"/>
          <w:sz w:val="20"/>
          <w:szCs w:val="20"/>
          <w:lang w:val="id-ID"/>
        </w:rPr>
        <w:t xml:space="preserve">  </w:t>
      </w:r>
      <w:r>
        <w:rPr>
          <w:color w:val="000000"/>
          <w:sz w:val="20"/>
          <w:szCs w:val="20"/>
          <w:lang w:val="id-ID"/>
        </w:rPr>
        <w:t>Media yang digunakan dalam penyuluhan  adalah leaflet dan modul.  Kegiatan ini dihadiri oleh 17 orang kader, hal ini dilakukan agar ibu ibu kader dapat mengetahui pentingnya pemberian PMT pada balita sebagai Upaya pencegahan stunting, dan mengingatkan Kembali peranan kader yang merupakan pengerak dalam peni</w:t>
      </w:r>
      <w:bookmarkStart w:id="16" w:name="_Hlk142635901"/>
      <w:r>
        <w:rPr>
          <w:color w:val="000000"/>
          <w:sz w:val="20"/>
          <w:szCs w:val="20"/>
          <w:lang w:val="id-ID"/>
        </w:rPr>
        <w:t xml:space="preserve">ngkatan kesehatan diwilayahnya. </w:t>
      </w:r>
    </w:p>
    <w:p>
      <w:pPr>
        <w:ind w:firstLine="720"/>
        <w:jc w:val="both"/>
        <w:rPr>
          <w:color w:val="000000"/>
          <w:sz w:val="20"/>
          <w:szCs w:val="20"/>
          <w:lang w:val="id-ID"/>
        </w:rPr>
      </w:pPr>
      <w:r>
        <w:rPr>
          <w:color w:val="000000"/>
          <w:sz w:val="20"/>
          <w:szCs w:val="20"/>
          <w:lang w:val="id-ID"/>
        </w:rPr>
        <w:t>Pemberian penyuluhan  pertama dilaksanakan pada tanggal 2 Juli  2023 melalui media leaflet berisi tentang pengertian defenisi, syarat, jenis, metode, media, langkah-langkah penyuluhan, langkah menentukan sasaran penyuluhan, menentukan isi penyuluhan, menentukan media penyuluhan, menyusun rencana evaluasi dan menyusun rencana kerja.</w:t>
      </w:r>
      <w:bookmarkEnd w:id="16"/>
    </w:p>
    <w:p>
      <w:pPr>
        <w:ind w:firstLine="720"/>
        <w:jc w:val="both"/>
        <w:rPr>
          <w:color w:val="000000"/>
          <w:sz w:val="20"/>
          <w:szCs w:val="20"/>
          <w:lang w:val="id-ID"/>
        </w:rPr>
      </w:pPr>
      <w:r>
        <w:rPr>
          <w:color w:val="000000"/>
          <w:sz w:val="20"/>
          <w:szCs w:val="20"/>
          <w:lang w:val="id-ID"/>
        </w:rPr>
        <w:t xml:space="preserve">Pemberian penyuluhan kedua dilaksanakan pada tanggal 10 Juli 2023, materi yang diberikan adalah kader, balita, stunting, PMT, manfaat </w:t>
      </w:r>
      <w:r>
        <w:rPr>
          <w:iCs/>
          <w:color w:val="000000"/>
          <w:sz w:val="20"/>
          <w:szCs w:val="20"/>
          <w:lang w:val="id-ID"/>
        </w:rPr>
        <w:t xml:space="preserve">PMT </w:t>
      </w:r>
      <w:r>
        <w:rPr>
          <w:color w:val="000000"/>
          <w:sz w:val="20"/>
          <w:szCs w:val="20"/>
          <w:lang w:val="id-ID"/>
        </w:rPr>
        <w:t>serta resep produk. Kader dan para undangan sangat bersemangat dan memperhatikan  pada saat pemberian edukasi berlangsung.</w:t>
      </w:r>
    </w:p>
    <w:p>
      <w:pPr>
        <w:ind w:firstLine="720"/>
        <w:jc w:val="both"/>
        <w:rPr>
          <w:color w:val="000000"/>
          <w:sz w:val="20"/>
          <w:szCs w:val="20"/>
          <w:lang w:val="id-ID"/>
        </w:rPr>
      </w:pPr>
      <w:r>
        <w:rPr>
          <w:color w:val="000000"/>
          <w:sz w:val="20"/>
          <w:szCs w:val="20"/>
          <w:lang w:val="id-ID"/>
        </w:rPr>
        <w:t xml:space="preserve">Selama dilakukan kegiatan pengabdian masyarakat, kader yang hadir memberikan respon yang cukup baik dan antusias selama proses pembelajaran, mulai dari materi penyuluhan, materi PMT, sampai dengan praktek penyuluhan tentang PMT dan stunting. </w:t>
      </w:r>
    </w:p>
    <w:p>
      <w:pPr>
        <w:ind w:firstLine="720"/>
        <w:jc w:val="both"/>
        <w:rPr>
          <w:color w:val="000000"/>
          <w:sz w:val="20"/>
          <w:szCs w:val="20"/>
          <w:lang w:val="id-ID"/>
        </w:rPr>
      </w:pPr>
      <w:r>
        <w:rPr>
          <w:color w:val="000000"/>
          <w:sz w:val="20"/>
          <w:szCs w:val="20"/>
          <w:lang w:val="id-ID"/>
        </w:rPr>
        <w:t>Proses pembelajaran membutuhkan media agar proses menyalurkan informasi dapat berjalan dengan efektif,  Media pembelajaran yang baik dan tepat sasaran dapat meningkatkan daya terima terhadap informasi yang diberikan sehingga dengan sendirinya akan tercapai tujuan. Media memiliki berbagai jenis seperti papan tulis, gambar, buku atau yang bersifat audio, visual, audio visual, dan sebagainya.  Media pembelajaran yang dikemas dengan sederhana dan menarik dapat mudah dipelajari sehingga ilmu yang diberikan diharapkan dapat terserap dengan sempurna (Parnabhakti, 2020).</w:t>
      </w:r>
    </w:p>
    <w:p>
      <w:pPr>
        <w:ind w:firstLine="720"/>
        <w:jc w:val="both"/>
        <w:rPr>
          <w:color w:val="000000"/>
          <w:sz w:val="20"/>
          <w:szCs w:val="20"/>
          <w:lang w:val="id-ID"/>
        </w:rPr>
      </w:pPr>
      <w:r>
        <w:rPr>
          <w:color w:val="000000"/>
          <w:sz w:val="20"/>
          <w:szCs w:val="20"/>
          <w:lang w:val="id-ID"/>
        </w:rPr>
        <w:t>Media yang digunakan dalam penyuluhan pada kegiatan pengabdian Masyarakat tentang peningkatan kapasitas kader posyandu dalam pembuatan PMT berbahan dasar pangan lokal adalah,  adalah (PPT) dan leaflet.</w:t>
      </w:r>
      <w:r>
        <w:rPr>
          <w:rFonts w:hint="default"/>
          <w:color w:val="000000"/>
          <w:sz w:val="20"/>
          <w:szCs w:val="20"/>
          <w:lang w:val="en-US"/>
        </w:rPr>
        <w:t xml:space="preserve">.  </w:t>
      </w:r>
      <w:r>
        <w:rPr>
          <w:color w:val="000000"/>
          <w:sz w:val="20"/>
          <w:szCs w:val="20"/>
          <w:lang w:val="id-ID"/>
        </w:rPr>
        <w:t xml:space="preserve">Media kedua yang digunakan dalam penyampaian materi adalah leaflet. Informasi yang disampaikan di dalam leaflet adalah informasi mengenai stunting, tempe, dan PMT.   Leaflet dibagikan kepada masing-masing kader dan selanjutnya disediakan leaflet untuk posyandu apabila ada yang memerlukan.  </w:t>
      </w:r>
    </w:p>
    <w:p>
      <w:pPr>
        <w:numPr>
          <w:ilvl w:val="0"/>
          <w:numId w:val="12"/>
        </w:numPr>
        <w:ind w:left="360"/>
        <w:jc w:val="both"/>
        <w:rPr>
          <w:b/>
          <w:bCs/>
          <w:color w:val="000000"/>
          <w:sz w:val="20"/>
          <w:szCs w:val="20"/>
          <w:lang w:val="pt-BR"/>
        </w:rPr>
      </w:pPr>
      <w:bookmarkStart w:id="17" w:name="_heading=h.2p2csry"/>
      <w:bookmarkEnd w:id="17"/>
      <w:bookmarkStart w:id="18" w:name="_heading=h.23ckvvd"/>
      <w:bookmarkEnd w:id="18"/>
      <w:bookmarkStart w:id="19" w:name="_Toc142645629"/>
      <w:bookmarkStart w:id="20" w:name="_Toc142645668"/>
      <w:r>
        <w:rPr>
          <w:b/>
          <w:bCs/>
          <w:color w:val="000000"/>
          <w:sz w:val="20"/>
          <w:szCs w:val="20"/>
          <w:lang w:val="pt-BR"/>
        </w:rPr>
        <w:t>Demonstrasi  Pemutaran video PMT Berbahan dasar pangan lokal dengan penambahan tempe</w:t>
      </w:r>
      <w:bookmarkEnd w:id="19"/>
      <w:bookmarkEnd w:id="20"/>
      <w:r>
        <w:rPr>
          <w:b/>
          <w:bCs/>
          <w:color w:val="000000"/>
          <w:sz w:val="20"/>
          <w:szCs w:val="20"/>
          <w:lang w:val="pt-BR"/>
        </w:rPr>
        <w:t xml:space="preserve"> </w:t>
      </w:r>
    </w:p>
    <w:p>
      <w:pPr>
        <w:ind w:firstLine="720"/>
        <w:jc w:val="both"/>
        <w:rPr>
          <w:color w:val="000000"/>
          <w:sz w:val="20"/>
          <w:szCs w:val="20"/>
          <w:lang w:val="pt-BR"/>
        </w:rPr>
      </w:pPr>
      <w:r>
        <w:rPr>
          <w:color w:val="000000"/>
          <w:sz w:val="20"/>
          <w:szCs w:val="20"/>
          <w:lang w:val="pt-BR"/>
        </w:rPr>
        <w:t xml:space="preserve">Edukasi melalui metode penyuluhan dan praktek secara langsung  merupakan salah satu teknik yang dapat dilakukan untuk meningkatkan pengetahuan dan merubah perilaku seseorang, sehingga ilmu yang didapatkan akan mudah untuk diterapkan. Pada saat pelaksanaan kegiatan, terlihat antusiasme dari kader, dari umpan balik  yang diberikan berupa banyaknya pertanyaan yang disampaikan dan keseriusan dalam mengikuti kegiatan. Suatu hal yang lebih menarik lagi adalah bahan yang digunakan (ikan patin ) adalah bahan makanan yang mudah didapatkan dengan harga yang terjangkau. Untuk mengolah ikan patin bisa ditambahkan makanan lain agar menjadi lebih bergizi dan  menarik, tidaklah membutuhkan biaya yang mahal. Diharapkan kepada petugas puskesmas dan dinas terkait agar dapat memberikan pelatihan dalam bentuk praktek langsung dengan menggunakan bahan makanan lokal lainnya,  sehingga menu PMT di posyandu lebih bervariasi dan tidak membosankan. </w:t>
      </w:r>
    </w:p>
    <w:p>
      <w:pPr>
        <w:ind w:firstLine="720"/>
        <w:jc w:val="both"/>
        <w:rPr>
          <w:b/>
          <w:color w:val="000000"/>
          <w:sz w:val="20"/>
          <w:szCs w:val="20"/>
        </w:rPr>
      </w:pPr>
      <w:r>
        <w:rPr>
          <w:color w:val="000000"/>
          <w:sz w:val="20"/>
          <w:szCs w:val="20"/>
          <w:lang w:val="pt-BR"/>
        </w:rPr>
        <w:t xml:space="preserve">Demonstrasi dilakukan untuk melatih kader dalam menerapkan pembuatan </w:t>
      </w:r>
      <w:r>
        <w:rPr>
          <w:iCs/>
          <w:color w:val="000000"/>
          <w:sz w:val="20"/>
          <w:szCs w:val="20"/>
          <w:lang w:val="pt-BR"/>
        </w:rPr>
        <w:t>PMT  b</w:t>
      </w:r>
      <w:r>
        <w:rPr>
          <w:color w:val="000000"/>
          <w:sz w:val="20"/>
          <w:szCs w:val="20"/>
          <w:lang w:val="pt-BR"/>
        </w:rPr>
        <w:t xml:space="preserve">erbahan dasar pangan lokal dengan penambahan tempe  diberikan sebagai PMT kepada balita sebagai upaya  pencegahan </w:t>
      </w:r>
      <w:r>
        <w:rPr>
          <w:i/>
          <w:color w:val="000000"/>
          <w:sz w:val="20"/>
          <w:szCs w:val="20"/>
          <w:lang w:val="pt-BR"/>
        </w:rPr>
        <w:t>stunting</w:t>
      </w:r>
      <w:r>
        <w:rPr>
          <w:color w:val="000000"/>
          <w:sz w:val="20"/>
          <w:szCs w:val="20"/>
          <w:lang w:val="pt-BR"/>
        </w:rPr>
        <w:t xml:space="preserve"> dengan menggunakan media video, selain dilakukan pemutaran video, juga dilakukan praktek langsung  dirumah kader dalam penyediaan PMT di posyandu.  Demonstrasi pembuatan </w:t>
      </w:r>
      <w:r>
        <w:rPr>
          <w:i/>
          <w:color w:val="000000"/>
          <w:sz w:val="20"/>
          <w:szCs w:val="20"/>
          <w:lang w:val="pt-BR"/>
        </w:rPr>
        <w:t>frozen food</w:t>
      </w:r>
      <w:r>
        <w:rPr>
          <w:color w:val="000000"/>
          <w:sz w:val="20"/>
          <w:szCs w:val="20"/>
          <w:lang w:val="pt-BR"/>
        </w:rPr>
        <w:t xml:space="preserve"> tempe dilakukan pada 27  Juli 2023 dengan menggunakan media video. </w:t>
      </w:r>
      <w:bookmarkStart w:id="21" w:name="_heading=h.ihv636"/>
      <w:bookmarkEnd w:id="21"/>
    </w:p>
    <w:p>
      <w:pPr>
        <w:numPr>
          <w:ilvl w:val="0"/>
          <w:numId w:val="12"/>
        </w:numPr>
        <w:ind w:left="360"/>
        <w:jc w:val="both"/>
        <w:rPr>
          <w:b/>
          <w:color w:val="000000"/>
          <w:sz w:val="20"/>
          <w:szCs w:val="20"/>
        </w:rPr>
      </w:pPr>
      <w:r>
        <w:rPr>
          <w:b/>
          <w:color w:val="000000"/>
          <w:sz w:val="20"/>
          <w:szCs w:val="20"/>
        </w:rPr>
        <w:t>Evaluasi Hasil  Hasil Pre Test dan Post Test</w:t>
      </w:r>
    </w:p>
    <w:p>
      <w:pPr>
        <w:widowControl w:val="0"/>
        <w:kinsoku w:val="0"/>
        <w:autoSpaceDE w:val="0"/>
        <w:autoSpaceDN w:val="0"/>
        <w:adjustRightInd w:val="0"/>
        <w:jc w:val="both"/>
        <w:rPr>
          <w:sz w:val="20"/>
          <w:szCs w:val="20"/>
          <w:lang w:eastAsia="id-ID"/>
        </w:rPr>
      </w:pPr>
      <w:r>
        <w:rPr>
          <w:sz w:val="20"/>
          <w:szCs w:val="20"/>
          <w:lang w:val="id-ID" w:eastAsia="id-ID"/>
        </w:rPr>
        <w:t xml:space="preserve">Tabel </w:t>
      </w:r>
      <w:r>
        <w:rPr>
          <w:sz w:val="20"/>
          <w:szCs w:val="20"/>
          <w:lang w:eastAsia="id-ID"/>
        </w:rPr>
        <w:t>3</w:t>
      </w:r>
      <w:r>
        <w:rPr>
          <w:sz w:val="20"/>
          <w:szCs w:val="20"/>
          <w:lang w:val="id-ID" w:eastAsia="id-ID"/>
        </w:rPr>
        <w:t xml:space="preserve">. </w:t>
      </w:r>
      <w:r>
        <w:rPr>
          <w:color w:val="000000"/>
          <w:sz w:val="20"/>
          <w:szCs w:val="20"/>
          <w:lang w:val="id-ID" w:eastAsia="id-ID"/>
        </w:rPr>
        <w:t>Evaluasi Pre Test dan Post Test</w:t>
      </w:r>
    </w:p>
    <w:tbl>
      <w:tblPr>
        <w:tblStyle w:val="21"/>
        <w:tblW w:w="9179"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1"/>
        <w:gridCol w:w="2498"/>
        <w:gridCol w:w="2420"/>
        <w:gridCol w:w="24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auto" w:sz="4" w:space="0"/>
              <w:bottom w:val="single" w:color="auto" w:sz="4" w:space="0"/>
            </w:tcBorders>
          </w:tcPr>
          <w:p>
            <w:pPr>
              <w:widowControl w:val="0"/>
              <w:kinsoku w:val="0"/>
              <w:autoSpaceDE w:val="0"/>
              <w:autoSpaceDN w:val="0"/>
              <w:adjustRightInd w:val="0"/>
              <w:jc w:val="center"/>
              <w:rPr>
                <w:sz w:val="20"/>
                <w:szCs w:val="20"/>
                <w:lang w:eastAsia="id-ID"/>
              </w:rPr>
            </w:pPr>
            <w:r>
              <w:rPr>
                <w:b/>
                <w:color w:val="000000"/>
                <w:sz w:val="20"/>
                <w:szCs w:val="20"/>
                <w:lang w:val="id-ID" w:eastAsia="id-ID"/>
              </w:rPr>
              <w:t>Variabel</w:t>
            </w:r>
          </w:p>
        </w:tc>
        <w:tc>
          <w:tcPr>
            <w:tcW w:w="2498" w:type="dxa"/>
            <w:tcBorders>
              <w:top w:val="single" w:color="auto" w:sz="4" w:space="0"/>
              <w:bottom w:val="single" w:color="auto" w:sz="4" w:space="0"/>
            </w:tcBorders>
          </w:tcPr>
          <w:p>
            <w:pPr>
              <w:widowControl w:val="0"/>
              <w:kinsoku w:val="0"/>
              <w:autoSpaceDE w:val="0"/>
              <w:autoSpaceDN w:val="0"/>
              <w:adjustRightInd w:val="0"/>
              <w:jc w:val="center"/>
              <w:rPr>
                <w:sz w:val="20"/>
                <w:szCs w:val="20"/>
                <w:lang w:eastAsia="id-ID"/>
              </w:rPr>
            </w:pPr>
            <w:r>
              <w:rPr>
                <w:b/>
                <w:color w:val="000000"/>
                <w:sz w:val="20"/>
                <w:szCs w:val="20"/>
                <w:lang w:val="id-ID" w:eastAsia="id-ID"/>
              </w:rPr>
              <w:t>Nilai rata-rata</w:t>
            </w:r>
          </w:p>
        </w:tc>
        <w:tc>
          <w:tcPr>
            <w:tcW w:w="2420" w:type="dxa"/>
            <w:tcBorders>
              <w:top w:val="single" w:color="auto" w:sz="4" w:space="0"/>
              <w:bottom w:val="single" w:color="auto" w:sz="4" w:space="0"/>
            </w:tcBorders>
          </w:tcPr>
          <w:p>
            <w:pPr>
              <w:widowControl w:val="0"/>
              <w:kinsoku w:val="0"/>
              <w:autoSpaceDE w:val="0"/>
              <w:autoSpaceDN w:val="0"/>
              <w:adjustRightInd w:val="0"/>
              <w:jc w:val="center"/>
              <w:rPr>
                <w:b/>
                <w:color w:val="000000"/>
                <w:sz w:val="20"/>
                <w:szCs w:val="20"/>
                <w:lang w:val="id-ID" w:eastAsia="id-ID"/>
              </w:rPr>
            </w:pPr>
            <w:r>
              <w:rPr>
                <w:b/>
                <w:color w:val="000000"/>
                <w:sz w:val="20"/>
                <w:szCs w:val="20"/>
                <w:lang w:val="id-ID" w:eastAsia="id-ID"/>
              </w:rPr>
              <w:t>Nilai Min – Max</w:t>
            </w:r>
          </w:p>
        </w:tc>
        <w:tc>
          <w:tcPr>
            <w:tcW w:w="2420" w:type="dxa"/>
            <w:tcBorders>
              <w:top w:val="single" w:color="auto" w:sz="4" w:space="0"/>
              <w:bottom w:val="single" w:color="auto" w:sz="4" w:space="0"/>
            </w:tcBorders>
          </w:tcPr>
          <w:p>
            <w:pPr>
              <w:widowControl w:val="0"/>
              <w:kinsoku w:val="0"/>
              <w:autoSpaceDE w:val="0"/>
              <w:autoSpaceDN w:val="0"/>
              <w:adjustRightInd w:val="0"/>
              <w:jc w:val="center"/>
              <w:rPr>
                <w:b/>
                <w:color w:val="000000"/>
                <w:sz w:val="20"/>
                <w:szCs w:val="20"/>
                <w:lang w:val="id-ID" w:eastAsia="id-ID"/>
              </w:rPr>
            </w:pPr>
            <w:r>
              <w:rPr>
                <w:b/>
                <w:color w:val="000000"/>
                <w:sz w:val="20"/>
                <w:szCs w:val="20"/>
                <w:lang w:val="id-ID" w:eastAsia="id-ID"/>
              </w:rPr>
              <w:t>Peningkatan (point)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auto" w:sz="4" w:space="0"/>
            </w:tcBorders>
          </w:tcPr>
          <w:p>
            <w:pPr>
              <w:widowControl w:val="0"/>
              <w:kinsoku w:val="0"/>
              <w:autoSpaceDE w:val="0"/>
              <w:autoSpaceDN w:val="0"/>
              <w:adjustRightInd w:val="0"/>
              <w:jc w:val="center"/>
              <w:rPr>
                <w:sz w:val="20"/>
                <w:szCs w:val="20"/>
                <w:lang w:eastAsia="id-ID"/>
              </w:rPr>
            </w:pPr>
            <w:r>
              <w:rPr>
                <w:color w:val="000000"/>
                <w:sz w:val="20"/>
                <w:szCs w:val="20"/>
                <w:lang w:val="id-ID" w:eastAsia="id-ID"/>
              </w:rPr>
              <w:t>Pre-Test</w:t>
            </w:r>
          </w:p>
        </w:tc>
        <w:tc>
          <w:tcPr>
            <w:tcW w:w="2498" w:type="dxa"/>
            <w:tcBorders>
              <w:top w:val="single" w:color="auto" w:sz="4" w:space="0"/>
            </w:tcBorders>
          </w:tcPr>
          <w:p>
            <w:pPr>
              <w:widowControl w:val="0"/>
              <w:kinsoku w:val="0"/>
              <w:autoSpaceDE w:val="0"/>
              <w:autoSpaceDN w:val="0"/>
              <w:adjustRightInd w:val="0"/>
              <w:jc w:val="center"/>
              <w:rPr>
                <w:sz w:val="20"/>
                <w:szCs w:val="20"/>
                <w:lang w:val="id-ID" w:eastAsia="id-ID"/>
              </w:rPr>
            </w:pPr>
            <w:r>
              <w:rPr>
                <w:color w:val="000000"/>
                <w:sz w:val="20"/>
                <w:szCs w:val="20"/>
                <w:lang w:val="id-ID" w:eastAsia="id-ID"/>
              </w:rPr>
              <w:t>65</w:t>
            </w:r>
          </w:p>
        </w:tc>
        <w:tc>
          <w:tcPr>
            <w:tcW w:w="2420" w:type="dxa"/>
            <w:tcBorders>
              <w:top w:val="single" w:color="auto" w:sz="4" w:space="0"/>
            </w:tcBorders>
          </w:tcPr>
          <w:p>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55 – 70</w:t>
            </w:r>
          </w:p>
        </w:tc>
        <w:tc>
          <w:tcPr>
            <w:tcW w:w="2420" w:type="dxa"/>
            <w:vMerge w:val="restart"/>
            <w:tcBorders>
              <w:top w:val="single" w:color="auto" w:sz="4" w:space="0"/>
            </w:tcBorders>
            <w:vAlign w:val="center"/>
          </w:tcPr>
          <w:p>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1" w:type="dxa"/>
          </w:tcPr>
          <w:p>
            <w:pPr>
              <w:widowControl w:val="0"/>
              <w:kinsoku w:val="0"/>
              <w:autoSpaceDE w:val="0"/>
              <w:autoSpaceDN w:val="0"/>
              <w:adjustRightInd w:val="0"/>
              <w:jc w:val="center"/>
              <w:rPr>
                <w:sz w:val="20"/>
                <w:szCs w:val="20"/>
                <w:lang w:eastAsia="id-ID"/>
              </w:rPr>
            </w:pPr>
            <w:r>
              <w:rPr>
                <w:color w:val="000000"/>
                <w:sz w:val="20"/>
                <w:szCs w:val="20"/>
                <w:lang w:val="id-ID" w:eastAsia="id-ID"/>
              </w:rPr>
              <w:t>Post-Test</w:t>
            </w:r>
          </w:p>
        </w:tc>
        <w:tc>
          <w:tcPr>
            <w:tcW w:w="2498" w:type="dxa"/>
          </w:tcPr>
          <w:p>
            <w:pPr>
              <w:widowControl w:val="0"/>
              <w:kinsoku w:val="0"/>
              <w:autoSpaceDE w:val="0"/>
              <w:autoSpaceDN w:val="0"/>
              <w:adjustRightInd w:val="0"/>
              <w:jc w:val="center"/>
              <w:rPr>
                <w:sz w:val="20"/>
                <w:szCs w:val="20"/>
                <w:lang w:val="id-ID" w:eastAsia="id-ID"/>
              </w:rPr>
            </w:pPr>
            <w:r>
              <w:rPr>
                <w:color w:val="000000"/>
                <w:sz w:val="20"/>
                <w:szCs w:val="20"/>
                <w:lang w:val="id-ID" w:eastAsia="id-ID"/>
              </w:rPr>
              <w:t>80</w:t>
            </w:r>
          </w:p>
        </w:tc>
        <w:tc>
          <w:tcPr>
            <w:tcW w:w="2420" w:type="dxa"/>
          </w:tcPr>
          <w:p>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75 – 95</w:t>
            </w:r>
          </w:p>
        </w:tc>
        <w:tc>
          <w:tcPr>
            <w:tcW w:w="2420" w:type="dxa"/>
            <w:vMerge w:val="continue"/>
          </w:tcPr>
          <w:p>
            <w:pPr>
              <w:widowControl w:val="0"/>
              <w:kinsoku w:val="0"/>
              <w:autoSpaceDE w:val="0"/>
              <w:autoSpaceDN w:val="0"/>
              <w:adjustRightInd w:val="0"/>
              <w:jc w:val="center"/>
              <w:rPr>
                <w:color w:val="000000"/>
                <w:sz w:val="20"/>
                <w:szCs w:val="20"/>
                <w:lang w:val="id-ID" w:eastAsia="id-ID"/>
              </w:rPr>
            </w:pPr>
          </w:p>
        </w:tc>
      </w:tr>
    </w:tbl>
    <w:p>
      <w:pPr>
        <w:ind w:firstLine="720"/>
        <w:jc w:val="both"/>
        <w:rPr>
          <w:color w:val="000000"/>
          <w:sz w:val="20"/>
          <w:szCs w:val="20"/>
        </w:rPr>
      </w:pPr>
      <w:r>
        <w:rPr>
          <w:color w:val="000000"/>
          <w:sz w:val="20"/>
          <w:szCs w:val="20"/>
        </w:rPr>
        <w:t xml:space="preserve">Dari hasil tabel 4 terlihat bahwa pengetahuan kader posyandu desa Ranah Singkuang terjadi peningkatan sebanyak 15 point. Hal ini juga terjadi pada angka minimum dan maksimum, sebelum penyuluhan nilai terendah adalah 55 dan setelah penyuluhan meningkat menjadi 75 artinya terjadi peningkatan sebanyak 20 poin, sedangkan untuk nilai tertinggi sebelum penyuluhan 70 naik menjadi 95 setelah penyuluhan yang berarti terjadi peningkatan sebanyak 25 poin.  </w:t>
      </w:r>
    </w:p>
    <w:p>
      <w:pPr>
        <w:ind w:firstLine="720"/>
        <w:jc w:val="both"/>
        <w:rPr>
          <w:color w:val="000000"/>
          <w:sz w:val="20"/>
          <w:szCs w:val="20"/>
        </w:rPr>
      </w:pPr>
      <w:r>
        <w:rPr>
          <w:i/>
          <w:color w:val="000000"/>
          <w:sz w:val="20"/>
          <w:szCs w:val="20"/>
        </w:rPr>
        <w:t>Post test</w:t>
      </w:r>
      <w:r>
        <w:rPr>
          <w:color w:val="000000"/>
          <w:sz w:val="20"/>
          <w:szCs w:val="20"/>
        </w:rPr>
        <w:t xml:space="preserve"> dilakukan dengan mengumpulkan seluruh kader di ruangan aula Desa Ranah Singkuang dengan mengundang bidan desa, bidan koordinator, ahli gizi puskesmas serta penanggung jawab promosi kesehatan. Pelaksanaan </w:t>
      </w:r>
      <w:r>
        <w:rPr>
          <w:i/>
          <w:color w:val="000000"/>
          <w:sz w:val="20"/>
          <w:szCs w:val="20"/>
        </w:rPr>
        <w:t xml:space="preserve">post test </w:t>
      </w:r>
      <w:r>
        <w:rPr>
          <w:color w:val="000000"/>
          <w:sz w:val="20"/>
          <w:szCs w:val="20"/>
        </w:rPr>
        <w:t>bertujuan  untuk mengetahui pengetahuan kader setelah dilakukanya edukasi dan demonstrasi. Berdasarkan hasil pretest, didapatkan rata-rata skor pengetahuan kader adalah 80.</w:t>
      </w:r>
    </w:p>
    <w:p>
      <w:pPr>
        <w:ind w:firstLine="720"/>
        <w:jc w:val="both"/>
        <w:rPr>
          <w:color w:val="000000"/>
          <w:sz w:val="20"/>
          <w:szCs w:val="20"/>
        </w:rPr>
      </w:pPr>
    </w:p>
    <w:p>
      <w:pPr>
        <w:ind w:firstLine="720"/>
        <w:jc w:val="both"/>
        <w:rPr>
          <w:color w:val="000000"/>
          <w:sz w:val="20"/>
          <w:szCs w:val="20"/>
        </w:rPr>
      </w:pPr>
    </w:p>
    <w:p>
      <w:pPr>
        <w:numPr>
          <w:ilvl w:val="0"/>
          <w:numId w:val="10"/>
        </w:numPr>
        <w:ind w:left="360"/>
        <w:jc w:val="both"/>
        <w:rPr>
          <w:b/>
          <w:bCs/>
          <w:color w:val="000000"/>
          <w:sz w:val="20"/>
          <w:szCs w:val="20"/>
        </w:rPr>
      </w:pPr>
      <w:bookmarkStart w:id="22" w:name="_Toc142645669"/>
      <w:bookmarkStart w:id="23" w:name="_Toc142645630"/>
      <w:r>
        <w:rPr>
          <w:b/>
          <w:bCs/>
          <w:color w:val="000000"/>
          <w:sz w:val="20"/>
          <w:szCs w:val="20"/>
        </w:rPr>
        <w:t>Supervisi dan Bimbingan</w:t>
      </w:r>
      <w:bookmarkEnd w:id="22"/>
      <w:bookmarkEnd w:id="23"/>
    </w:p>
    <w:p>
      <w:pPr>
        <w:ind w:firstLine="720"/>
        <w:jc w:val="both"/>
        <w:rPr>
          <w:color w:val="000000"/>
          <w:sz w:val="20"/>
          <w:szCs w:val="20"/>
        </w:rPr>
      </w:pPr>
      <w:r>
        <w:rPr>
          <w:color w:val="000000"/>
          <w:sz w:val="20"/>
          <w:szCs w:val="20"/>
        </w:rPr>
        <w:t>Kegiatan supervisi dan bimbingan dilakukan  setelah kegiatan edukasi dan demonstrasi. Kegiatan ini dilakukan dalam bentuk kunjungan langsung ke posyandu yang kadernya sudah dilatih. Kunjungan di lapangan dilakukan sesuai dengan jadwal pelaksanaan  posyandu masing-masing.</w:t>
      </w:r>
    </w:p>
    <w:p>
      <w:pPr>
        <w:ind w:firstLine="720"/>
        <w:jc w:val="both"/>
        <w:rPr>
          <w:color w:val="000000"/>
          <w:sz w:val="20"/>
          <w:szCs w:val="20"/>
        </w:rPr>
      </w:pPr>
      <w:r>
        <w:rPr>
          <w:color w:val="000000"/>
          <w:sz w:val="20"/>
          <w:szCs w:val="20"/>
        </w:rPr>
        <w:t xml:space="preserve">Hasil supervisi dan bimbingan di lapangan diperoleh hasil bahwa semua posyandu yang dikunjungi sudah menerapkan pembuatan PMT berbahan dasar tempe, sebagai bahan makanan tambahan yang disajikan untuk balita yang hadir ke posyandu. Dengan adanya makanan baru yang disajikan, menambah antusias baik ibu-ibu balita maupun balitanya sendiri. Dengan adanya kegiatan pengabdian masyarakat ini, diharapkan dapat membuka wawasan kader untuk lebih bervariasi lagi dalam menyusun menu dengan memanfaatkan bahan makanan lokal. Seperti diketahui, tubuh manusia membutuhkan zat gizi lengkap yang bisa diperoleh dari variasi makanan.  </w:t>
      </w:r>
    </w:p>
    <w:p>
      <w:pPr>
        <w:numPr>
          <w:ilvl w:val="0"/>
          <w:numId w:val="10"/>
        </w:numPr>
        <w:ind w:left="360"/>
        <w:jc w:val="both"/>
        <w:rPr>
          <w:b/>
          <w:bCs/>
          <w:color w:val="000000"/>
          <w:sz w:val="20"/>
          <w:szCs w:val="20"/>
        </w:rPr>
      </w:pPr>
      <w:r>
        <w:rPr>
          <w:b/>
          <w:bCs/>
          <w:color w:val="000000"/>
          <w:sz w:val="20"/>
          <w:szCs w:val="20"/>
        </w:rPr>
        <w:t xml:space="preserve">Luaran yang dicapai </w:t>
      </w:r>
      <w:bookmarkStart w:id="24" w:name="_Toc142639335"/>
    </w:p>
    <w:p>
      <w:pPr>
        <w:ind w:firstLine="720"/>
        <w:jc w:val="both"/>
        <w:rPr>
          <w:b/>
          <w:bCs/>
          <w:color w:val="000000"/>
          <w:sz w:val="20"/>
          <w:szCs w:val="20"/>
        </w:rPr>
      </w:pPr>
      <w:r>
        <w:rPr>
          <w:color w:val="000000"/>
          <w:sz w:val="20"/>
          <w:szCs w:val="20"/>
        </w:rPr>
        <w:t>Luaran Pengabdian Kepada Masyarakat untuk seluruh skema Pengabdian Kepada Masyarakat terdiri dari dua kriteria yaitu: luaran wajib dan luaran tambahan</w:t>
      </w:r>
      <w:bookmarkEnd w:id="24"/>
    </w:p>
    <w:p>
      <w:pPr>
        <w:numPr>
          <w:ilvl w:val="0"/>
          <w:numId w:val="13"/>
        </w:numPr>
        <w:ind w:left="360"/>
        <w:jc w:val="both"/>
        <w:rPr>
          <w:color w:val="000000"/>
          <w:sz w:val="20"/>
          <w:szCs w:val="20"/>
        </w:rPr>
      </w:pPr>
      <w:bookmarkStart w:id="25" w:name="_Toc142639336"/>
      <w:r>
        <w:rPr>
          <w:color w:val="000000"/>
          <w:sz w:val="20"/>
          <w:szCs w:val="20"/>
        </w:rPr>
        <w:t>Luaran Wajib</w:t>
      </w:r>
      <w:bookmarkEnd w:id="25"/>
      <w:r>
        <w:rPr>
          <w:color w:val="000000"/>
          <w:sz w:val="20"/>
          <w:szCs w:val="20"/>
        </w:rPr>
        <w:t xml:space="preserve"> </w:t>
      </w:r>
    </w:p>
    <w:p>
      <w:pPr>
        <w:numPr>
          <w:ilvl w:val="3"/>
          <w:numId w:val="14"/>
        </w:numPr>
        <w:ind w:left="720"/>
        <w:jc w:val="both"/>
        <w:rPr>
          <w:color w:val="000000"/>
          <w:sz w:val="20"/>
          <w:szCs w:val="20"/>
        </w:rPr>
      </w:pPr>
      <w:bookmarkStart w:id="26" w:name="_Hlk141912461"/>
      <w:r>
        <w:rPr>
          <w:color w:val="000000"/>
          <w:sz w:val="20"/>
          <w:szCs w:val="20"/>
        </w:rPr>
        <w:t>Satu artikel ilmiah dimuat pada jurnal nasional yang ber ISSN dan e- ISSN atau Prosiding ber ISBN dari seminar nasional;</w:t>
      </w:r>
    </w:p>
    <w:p>
      <w:pPr>
        <w:numPr>
          <w:ilvl w:val="3"/>
          <w:numId w:val="14"/>
        </w:numPr>
        <w:ind w:left="720"/>
        <w:jc w:val="both"/>
        <w:rPr>
          <w:color w:val="000000"/>
          <w:sz w:val="20"/>
          <w:szCs w:val="20"/>
          <w:lang w:val="pt-BR"/>
        </w:rPr>
      </w:pPr>
      <w:r>
        <w:rPr>
          <w:color w:val="000000"/>
          <w:sz w:val="20"/>
          <w:szCs w:val="20"/>
          <w:lang w:val="pt-BR"/>
        </w:rPr>
        <w:t>Video Kegiatan</w:t>
      </w:r>
      <w:bookmarkEnd w:id="26"/>
    </w:p>
    <w:p>
      <w:pPr>
        <w:numPr>
          <w:ilvl w:val="0"/>
          <w:numId w:val="13"/>
        </w:numPr>
        <w:ind w:left="360"/>
        <w:jc w:val="both"/>
        <w:rPr>
          <w:color w:val="000000"/>
          <w:sz w:val="20"/>
          <w:szCs w:val="20"/>
          <w:lang w:val="pt-BR"/>
        </w:rPr>
      </w:pPr>
      <w:r>
        <w:rPr>
          <w:color w:val="000000"/>
          <w:sz w:val="20"/>
          <w:szCs w:val="20"/>
          <w:lang w:val="pt-BR"/>
        </w:rPr>
        <w:t xml:space="preserve">Luaran Tambahan </w:t>
      </w:r>
      <w:bookmarkStart w:id="27" w:name="_Hlk141912470"/>
    </w:p>
    <w:p>
      <w:pPr>
        <w:ind w:left="360"/>
        <w:jc w:val="both"/>
        <w:rPr>
          <w:color w:val="000000"/>
          <w:sz w:val="20"/>
          <w:szCs w:val="20"/>
          <w:lang w:val="pt-BR"/>
        </w:rPr>
      </w:pPr>
      <w:r>
        <w:rPr>
          <w:color w:val="000000"/>
          <w:sz w:val="20"/>
          <w:szCs w:val="20"/>
          <w:lang w:val="zh-CN"/>
        </w:rPr>
        <w:t xml:space="preserve">Modul  yang telah terdaftar HKI </w:t>
      </w:r>
      <w:bookmarkEnd w:id="27"/>
    </w:p>
    <w:p>
      <w:pPr>
        <w:numPr>
          <w:ilvl w:val="0"/>
          <w:numId w:val="13"/>
        </w:numPr>
        <w:ind w:left="360"/>
        <w:jc w:val="both"/>
        <w:rPr>
          <w:color w:val="000000"/>
          <w:sz w:val="20"/>
          <w:szCs w:val="20"/>
          <w:lang w:val="pt-BR"/>
        </w:rPr>
      </w:pPr>
      <w:r>
        <w:rPr>
          <w:color w:val="000000"/>
          <w:sz w:val="20"/>
          <w:szCs w:val="20"/>
          <w:lang w:val="zh-CN"/>
        </w:rPr>
        <w:t xml:space="preserve">Target Capaian </w:t>
      </w:r>
    </w:p>
    <w:p>
      <w:pPr>
        <w:numPr>
          <w:ilvl w:val="3"/>
          <w:numId w:val="15"/>
        </w:numPr>
        <w:ind w:left="720"/>
        <w:jc w:val="both"/>
        <w:rPr>
          <w:color w:val="000000"/>
          <w:sz w:val="20"/>
          <w:szCs w:val="20"/>
          <w:lang w:val="pt-BR"/>
        </w:rPr>
      </w:pPr>
      <w:r>
        <w:rPr>
          <w:color w:val="000000"/>
          <w:sz w:val="20"/>
          <w:szCs w:val="20"/>
          <w:lang w:val="pt-BR"/>
        </w:rPr>
        <w:t>Satu artikel ilmiah dimuat pada jurnal nasional yang ber ISSN dan e- ISSN atau Prosiding ber ISBN dari seminar nasional; ( Submit/LOA)</w:t>
      </w:r>
    </w:p>
    <w:p>
      <w:pPr>
        <w:numPr>
          <w:ilvl w:val="3"/>
          <w:numId w:val="15"/>
        </w:numPr>
        <w:ind w:left="720"/>
        <w:jc w:val="both"/>
        <w:rPr>
          <w:color w:val="000000"/>
          <w:sz w:val="20"/>
          <w:szCs w:val="20"/>
          <w:lang w:val="pt-BR"/>
        </w:rPr>
      </w:pPr>
      <w:r>
        <w:rPr>
          <w:color w:val="000000"/>
          <w:sz w:val="20"/>
          <w:szCs w:val="20"/>
          <w:lang w:val="pt-BR"/>
        </w:rPr>
        <w:t>Video Kegiatan (Selesai)</w:t>
      </w:r>
    </w:p>
    <w:p>
      <w:pPr>
        <w:numPr>
          <w:ilvl w:val="3"/>
          <w:numId w:val="15"/>
        </w:numPr>
        <w:ind w:left="720"/>
        <w:rPr>
          <w:color w:val="000000"/>
          <w:sz w:val="20"/>
          <w:szCs w:val="20"/>
          <w:lang w:val="zh-CN"/>
        </w:rPr>
      </w:pPr>
      <w:r>
        <w:rPr>
          <w:color w:val="000000"/>
          <w:sz w:val="20"/>
          <w:szCs w:val="20"/>
          <w:lang w:val="zh-CN"/>
        </w:rPr>
        <w:t>Modul  yang telah terdaftar HKI (Selesai)</w:t>
      </w:r>
    </w:p>
    <w:p>
      <w:pPr>
        <w:pBdr>
          <w:top w:val="none" w:color="auto" w:sz="0" w:space="0"/>
          <w:left w:val="none" w:color="auto" w:sz="0" w:space="0"/>
          <w:bottom w:val="none" w:color="auto" w:sz="0" w:space="0"/>
          <w:right w:val="none" w:color="auto" w:sz="0" w:space="0"/>
          <w:between w:val="none" w:color="auto" w:sz="0" w:space="0"/>
        </w:pBdr>
        <w:jc w:val="both"/>
        <w:rPr>
          <w:b/>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color w:val="000000"/>
          <w:sz w:val="20"/>
          <w:szCs w:val="20"/>
        </w:rPr>
      </w:pPr>
      <w:r>
        <w:rPr>
          <w:b/>
          <w:color w:val="000000"/>
          <w:sz w:val="20"/>
          <w:szCs w:val="20"/>
        </w:rPr>
        <w:t>KESIMPULAN</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sz w:val="20"/>
          <w:szCs w:val="20"/>
        </w:rPr>
        <w:t xml:space="preserve">Kegiatan PKM ini menarik beberapa kesimpulan, diantaranya : </w:t>
      </w:r>
    </w:p>
    <w:p>
      <w:pPr>
        <w:pStyle w:val="32"/>
        <w:numPr>
          <w:ilvl w:val="3"/>
          <w:numId w:val="1"/>
        </w:numPr>
        <w:pBdr>
          <w:top w:val="none" w:color="auto" w:sz="0" w:space="0"/>
          <w:left w:val="none" w:color="auto" w:sz="0" w:space="0"/>
          <w:bottom w:val="none" w:color="auto" w:sz="0" w:space="0"/>
          <w:right w:val="none" w:color="auto" w:sz="0" w:space="0"/>
          <w:between w:val="none" w:color="auto" w:sz="0" w:space="0"/>
        </w:pBdr>
        <w:spacing w:before="0" w:after="0" w:line="240" w:lineRule="auto"/>
        <w:ind w:left="360"/>
        <w:jc w:val="both"/>
        <w:rPr>
          <w:rFonts w:ascii="Times New Roman" w:hAnsi="Times New Roman"/>
          <w:color w:val="000000"/>
          <w:sz w:val="20"/>
          <w:szCs w:val="20"/>
        </w:rPr>
      </w:pPr>
      <w:r>
        <w:rPr>
          <w:rFonts w:ascii="Times New Roman" w:hAnsi="Times New Roman"/>
          <w:color w:val="000000"/>
          <w:sz w:val="20"/>
          <w:szCs w:val="20"/>
        </w:rPr>
        <w:t>Terdapat peningkatan terhadap pengetahuan kader sebanyak 25 point, nilai tertinggi pada saat pre-test 70 naik menjadi 95 setelah penyuluhan pada saat post-test, yang berarti berhasilnya edukasi yang dilakukan mengenai pembuatan makanan tambahan berbahan dasar pangan lokal sebagai upaya pencegahan stunting di Desa Ranah Singkuan.</w:t>
      </w:r>
    </w:p>
    <w:p>
      <w:pPr>
        <w:pStyle w:val="32"/>
        <w:numPr>
          <w:ilvl w:val="3"/>
          <w:numId w:val="1"/>
        </w:numPr>
        <w:pBdr>
          <w:top w:val="none" w:color="auto" w:sz="0" w:space="0"/>
          <w:left w:val="none" w:color="auto" w:sz="0" w:space="0"/>
          <w:bottom w:val="none" w:color="auto" w:sz="0" w:space="0"/>
          <w:right w:val="none" w:color="auto" w:sz="0" w:space="0"/>
          <w:between w:val="none" w:color="auto" w:sz="0" w:space="0"/>
        </w:pBdr>
        <w:spacing w:before="0" w:after="0" w:line="240" w:lineRule="auto"/>
        <w:ind w:left="360"/>
        <w:jc w:val="both"/>
        <w:rPr>
          <w:rFonts w:ascii="Times New Roman" w:hAnsi="Times New Roman"/>
          <w:color w:val="000000"/>
          <w:sz w:val="20"/>
          <w:szCs w:val="20"/>
        </w:rPr>
      </w:pPr>
      <w:r>
        <w:rPr>
          <w:rFonts w:ascii="Times New Roman" w:hAnsi="Times New Roman"/>
          <w:color w:val="000000"/>
          <w:sz w:val="20"/>
          <w:szCs w:val="20"/>
        </w:rPr>
        <w:t>Bertambahnya variase makanan tambahan balita berupa nugget patin dan nugget tempe yang dapat meningkatkan daya terima dari balita.</w:t>
      </w:r>
    </w:p>
    <w:p>
      <w:pPr>
        <w:pStyle w:val="32"/>
        <w:numPr>
          <w:ilvl w:val="3"/>
          <w:numId w:val="1"/>
        </w:numPr>
        <w:pBdr>
          <w:top w:val="none" w:color="auto" w:sz="0" w:space="0"/>
          <w:left w:val="none" w:color="auto" w:sz="0" w:space="0"/>
          <w:bottom w:val="none" w:color="auto" w:sz="0" w:space="0"/>
          <w:right w:val="none" w:color="auto" w:sz="0" w:space="0"/>
          <w:between w:val="none" w:color="auto" w:sz="0" w:space="0"/>
        </w:pBdr>
        <w:spacing w:before="0" w:after="0" w:line="240" w:lineRule="auto"/>
        <w:ind w:left="360"/>
        <w:jc w:val="both"/>
        <w:rPr>
          <w:rFonts w:ascii="Times New Roman" w:hAnsi="Times New Roman"/>
          <w:b/>
          <w:color w:val="000000"/>
          <w:sz w:val="20"/>
          <w:szCs w:val="20"/>
        </w:rPr>
      </w:pPr>
      <w:r>
        <w:rPr>
          <w:rFonts w:ascii="Times New Roman" w:hAnsi="Times New Roman"/>
          <w:color w:val="000000"/>
          <w:sz w:val="20"/>
          <w:szCs w:val="20"/>
        </w:rPr>
        <w:t>Para kader mulai terampil setelah dilakukannya bimbingan dan demonstrasi pembuatan PMT berbahan dasar tempe, sebagai bahan makanan tambahan yang disajikan utnuk balita yang hadir ke posyandu.</w:t>
      </w:r>
    </w:p>
    <w:p>
      <w:pPr>
        <w:pStyle w:val="32"/>
        <w:pBdr>
          <w:top w:val="none" w:color="auto" w:sz="0" w:space="0"/>
          <w:left w:val="none" w:color="auto" w:sz="0" w:space="0"/>
          <w:bottom w:val="none" w:color="auto" w:sz="0" w:space="0"/>
          <w:right w:val="none" w:color="auto" w:sz="0" w:space="0"/>
          <w:between w:val="none" w:color="auto" w:sz="0" w:space="0"/>
        </w:pBdr>
        <w:spacing w:before="0" w:after="0" w:line="240" w:lineRule="auto"/>
        <w:ind w:left="360"/>
        <w:jc w:val="both"/>
        <w:rPr>
          <w:b/>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color w:val="000000"/>
          <w:sz w:val="20"/>
          <w:szCs w:val="20"/>
        </w:rPr>
      </w:pPr>
      <w:r>
        <w:rPr>
          <w:b/>
          <w:color w:val="000000"/>
          <w:sz w:val="20"/>
          <w:szCs w:val="20"/>
        </w:rPr>
        <w:t>UCAPAN TERIMA KASIH</w:t>
      </w:r>
    </w:p>
    <w:p>
      <w:pPr>
        <w:pBdr>
          <w:top w:val="none" w:color="auto" w:sz="0" w:space="0"/>
          <w:left w:val="none" w:color="auto" w:sz="0" w:space="0"/>
          <w:bottom w:val="none" w:color="auto" w:sz="0" w:space="0"/>
          <w:right w:val="none" w:color="auto" w:sz="0" w:space="0"/>
          <w:between w:val="none" w:color="auto" w:sz="0" w:space="0"/>
        </w:pBdr>
        <w:ind w:firstLine="284"/>
        <w:jc w:val="both"/>
        <w:rPr>
          <w:color w:val="000000"/>
          <w:sz w:val="20"/>
          <w:szCs w:val="20"/>
        </w:rPr>
      </w:pPr>
      <w:r>
        <w:rPr>
          <w:color w:val="000000"/>
          <w:sz w:val="20"/>
          <w:szCs w:val="20"/>
        </w:rPr>
        <w:t>Terimakasih kepada Poltekkes Kemenkes Riau yang telah menyetujui pengabdian masyarakat ini dilakukan dan terimakasih kepada semua pihak yang terlibat di dalam pengabdian masyarakat ini.</w:t>
      </w:r>
    </w:p>
    <w:p>
      <w:pPr>
        <w:pBdr>
          <w:top w:val="none" w:color="auto" w:sz="0" w:space="0"/>
          <w:left w:val="none" w:color="auto" w:sz="0" w:space="0"/>
          <w:bottom w:val="none" w:color="auto" w:sz="0" w:space="0"/>
          <w:right w:val="none" w:color="auto" w:sz="0" w:space="0"/>
          <w:between w:val="none" w:color="auto" w:sz="0" w:space="0"/>
        </w:pBdr>
        <w:jc w:val="both"/>
        <w:rPr>
          <w:b/>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ind w:left="284" w:hanging="284"/>
        <w:jc w:val="both"/>
        <w:rPr>
          <w:color w:val="000000"/>
          <w:sz w:val="20"/>
          <w:szCs w:val="20"/>
        </w:rPr>
      </w:pPr>
      <w:r>
        <w:rPr>
          <w:b/>
          <w:color w:val="000000"/>
          <w:sz w:val="20"/>
          <w:szCs w:val="20"/>
        </w:rPr>
        <w:t>DAFTAR PUSTAKA</w:t>
      </w:r>
      <w:bookmarkStart w:id="28" w:name="_GoBack"/>
      <w:bookmarkEnd w:id="28"/>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Devi, R., Indang, N., &amp; Badariati. (2022). Pemenuhan Gizi 1000 Hari Pertama Kelahiran Di Wilayah Kerja Puskesmas Tawaeli Kota Palu. Jurnal Pengabdian Pada Masyarakat, 10(1).</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 xml:space="preserve">Juhartini, (2016). Pengaruh Pemberian Makanan Tambahan Biskuit dan Bahan  Makanan Campuran Kelor Terhadap Berat Badan dan Hemoglobin (Studi Pada  Balita Dengan Status Gizi Kurus di Wilayah Kerja Puskesmas Kalumpang Kota  Ternate tahun 2015. </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 xml:space="preserve">Kemenkes. (2018). Riset Kesehatan Dasar (Riskesdas). Balitbang Kemenkes RI. Kementrian Kelauatan dan Perikanan Republik Indonesia. 2020, KKP Dorong  Tumbuhnya Kawasan KampungLele dan Kampung Patin di Riau,  https://kkp.go.id/artikel/24233-kkp-dorong-tumbuhnya-kawasan-kampung leledan-kampung-patin-di-riau. </w:t>
      </w:r>
    </w:p>
    <w:p>
      <w:pPr>
        <w:pBdr>
          <w:top w:val="none" w:color="auto" w:sz="0" w:space="0"/>
          <w:left w:val="none" w:color="auto" w:sz="0" w:space="0"/>
          <w:bottom w:val="none" w:color="auto" w:sz="0" w:space="0"/>
          <w:right w:val="none" w:color="auto" w:sz="0" w:space="0"/>
          <w:between w:val="none" w:color="auto" w:sz="0" w:space="0"/>
        </w:pBdr>
        <w:tabs>
          <w:tab w:val="left" w:pos="720"/>
        </w:tabs>
        <w:ind w:left="712" w:leftChars="0" w:hanging="712" w:hangingChars="356"/>
        <w:jc w:val="both"/>
        <w:rPr>
          <w:rFonts w:hint="default"/>
          <w:color w:val="000000"/>
          <w:sz w:val="20"/>
          <w:szCs w:val="20"/>
          <w:lang w:val="en-US"/>
        </w:rPr>
      </w:pPr>
      <w:r>
        <w:rPr>
          <w:rFonts w:hint="default"/>
          <w:color w:val="000000"/>
          <w:sz w:val="20"/>
          <w:szCs w:val="20"/>
          <w:lang w:val="en-US"/>
        </w:rPr>
        <w:t xml:space="preserve">Kementrian Kesehatan Republik Indonesia (2018), Tbel Komposisi Pangan Indonesia 2017, Kementrian Kesehatan Republik Indonesia </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Kementrian Kesehatan RI, 2019, Profil Kesehatan Indonesia Tahun 2019, Jakarta, Kementrian Kesehatan RI.</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 xml:space="preserve">Khoeroh, H. (2017). Evaluasi Penataklaksanaan Gizi Balita Stunting. Unnes Journal of  Public Health. </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 xml:space="preserve">Nilawati, M. (2016). Faktor-faktor yang Berhubungan dengan Kejadian GiziKurang  pada Batita di Desa Kemiri, Kecamatan Jepon, Kabupaten Blora. Artikel  Ilmiah. Semarang: STIKES Ngudi Waluyo Ungaran.  </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 xml:space="preserve">Noer ER, Rustanti N, Leiyla E. (2014).  Karakteristik makanan pendamping ASI balita yang disubstitusi dengan tepung ikan lele dan labu kuning. Jurnal gizi Indonesia ;2(2):82-88. </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Parnabhakti Lily &amp; Puspaningtyas, N, D. (2020). Pengaruh Media Power Point Dalam Google Classroom Untuk Meningkatkan Hasil Belajar Siswa Mata Pelajaran Matematika. Jurnal Ilmiah Matematika Realistik (Vol. 1, Issue. 2).</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Riset Kesehatan Dasar. (2013).  Laporan Hasil Riset Kesehatan Dasar Indonesia. Jakarta: Badan Penelitian dan Pengembangan Kesehatan.</w:t>
      </w:r>
    </w:p>
    <w:p>
      <w:pPr>
        <w:pBdr>
          <w:top w:val="none" w:color="auto" w:sz="0" w:space="0"/>
          <w:left w:val="none" w:color="auto" w:sz="0" w:space="0"/>
          <w:bottom w:val="none" w:color="auto" w:sz="0" w:space="0"/>
          <w:right w:val="none" w:color="auto" w:sz="0" w:space="0"/>
          <w:between w:val="none" w:color="auto" w:sz="0" w:space="0"/>
        </w:pBdr>
        <w:ind w:left="630" w:hanging="630"/>
        <w:jc w:val="both"/>
        <w:rPr>
          <w:color w:val="000000"/>
          <w:sz w:val="20"/>
          <w:szCs w:val="20"/>
        </w:rPr>
      </w:pPr>
      <w:r>
        <w:rPr>
          <w:color w:val="000000"/>
          <w:sz w:val="20"/>
          <w:szCs w:val="20"/>
        </w:rPr>
        <w:t>Wahyuningtyas, M. P., Setiati, Y., &amp; Riska, N. (2020). Karakteristik Fisik Penambahan Ikan Patin Siam (Pangasius sutchii) Pada Sus Kering. TEKNOBUGA: Jurnal Teknologi Busana Dan Boga, 8(2), 114–120. https://doi.org/10.15294/teknobuga.v8i2.23487</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p>
    <w:p>
      <w:pPr>
        <w:spacing w:line="360" w:lineRule="auto"/>
        <w:rPr>
          <w:color w:val="000000"/>
          <w:sz w:val="20"/>
          <w:szCs w:val="20"/>
        </w:rPr>
      </w:pPr>
    </w:p>
    <w:p>
      <w:pPr>
        <w:spacing w:line="360" w:lineRule="auto"/>
        <w:rPr>
          <w:color w:val="000000"/>
          <w:sz w:val="20"/>
          <w:szCs w:val="20"/>
        </w:rPr>
      </w:pPr>
    </w:p>
    <w:p>
      <w:pPr>
        <w:spacing w:line="360" w:lineRule="auto"/>
        <w:rPr>
          <w:color w:val="000000"/>
          <w:sz w:val="20"/>
          <w:szCs w:val="20"/>
        </w:rPr>
      </w:pPr>
    </w:p>
    <w:sectPr>
      <w:type w:val="continuous"/>
      <w:pgSz w:w="12240" w:h="15840"/>
      <w:pgMar w:top="1701"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ff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4">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240"/>
    </w:pPr>
    <w:r>
      <w:fldChar w:fldCharType="begin"/>
    </w:r>
    <w:r>
      <w:instrText xml:space="preserve"> HYPERLINK "https://jurnal.pkr.ac.id/index.php/PITIMAS/issue/view/38" \h </w:instrText>
    </w:r>
    <w:r>
      <w:fldChar w:fldCharType="separate"/>
    </w:r>
    <w:r>
      <w:rPr>
        <w:rFonts w:ascii="Arial" w:hAnsi="Arial" w:eastAsia="Arial" w:cs="Arial"/>
        <w:b/>
        <w:color w:val="4B7D92"/>
        <w:sz w:val="21"/>
        <w:szCs w:val="21"/>
        <w:highlight w:val="white"/>
        <w:u w:val="single"/>
      </w:rPr>
      <w:t>PITIMAS: Journal of Community Engagement in Health</w:t>
    </w:r>
    <w:r>
      <w:rPr>
        <w:rFonts w:ascii="Arial" w:hAnsi="Arial" w:eastAsia="Arial" w:cs="Arial"/>
        <w:b/>
        <w:color w:val="4B7D92"/>
        <w:sz w:val="21"/>
        <w:szCs w:val="21"/>
        <w:highlight w:val="white"/>
        <w:u w:val="single"/>
      </w:rPr>
      <w:fldChar w:fldCharType="end"/>
    </w:r>
    <w:r>
      <w:rPr>
        <w:rFonts w:ascii="Arial" w:hAnsi="Arial" w:eastAsia="Arial" w:cs="Arial"/>
        <w:b/>
        <w:sz w:val="21"/>
        <w:szCs w:val="21"/>
        <w:highlight w:val="white"/>
      </w:rPr>
      <w:t xml:space="preserve">            </w:t>
    </w:r>
    <w:r>
      <w:rPr>
        <w:rFonts w:ascii="Arial" w:hAnsi="Arial" w:eastAsia="Arial" w:cs="Arial"/>
        <w:b/>
        <w:sz w:val="21"/>
        <w:szCs w:val="21"/>
        <w:highlight w:val="white"/>
      </w:rPr>
      <w:tab/>
    </w:r>
    <w:r>
      <w:rPr>
        <w:rFonts w:ascii="Arial" w:hAnsi="Arial" w:eastAsia="Arial" w:cs="Arial"/>
        <w:b/>
        <w:sz w:val="21"/>
        <w:szCs w:val="21"/>
        <w:highlight w:val="white"/>
      </w:rPr>
      <w:t xml:space="preserve">     </w:t>
    </w:r>
    <w:r>
      <w:t>Vol.2x No. 3 November 2023</w:t>
    </w:r>
  </w:p>
  <w:p>
    <w:pPr>
      <w:jc w:val="right"/>
    </w:pPr>
    <w:r>
      <w:rPr>
        <w:rFonts w:ascii="Calibri" w:hAnsi="Calibri" w:eastAsia="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E5265"/>
    <w:multiLevelType w:val="multilevel"/>
    <w:tmpl w:val="005E5265"/>
    <w:lvl w:ilvl="0" w:tentative="0">
      <w:start w:val="1"/>
      <w:numFmt w:val="lowerLetter"/>
      <w:lvlText w:val="%1)"/>
      <w:lvlJc w:val="left"/>
      <w:pPr>
        <w:ind w:left="2662" w:hanging="360"/>
      </w:pPr>
    </w:lvl>
    <w:lvl w:ilvl="1" w:tentative="0">
      <w:start w:val="1"/>
      <w:numFmt w:val="lowerLetter"/>
      <w:lvlText w:val="%2."/>
      <w:lvlJc w:val="left"/>
      <w:pPr>
        <w:ind w:left="3382" w:hanging="360"/>
      </w:pPr>
    </w:lvl>
    <w:lvl w:ilvl="2" w:tentative="0">
      <w:start w:val="1"/>
      <w:numFmt w:val="lowerLetter"/>
      <w:lvlText w:val="%3)"/>
      <w:lvlJc w:val="left"/>
      <w:pPr>
        <w:ind w:left="4282" w:hanging="360"/>
      </w:pPr>
    </w:lvl>
    <w:lvl w:ilvl="3" w:tentative="0">
      <w:start w:val="1"/>
      <w:numFmt w:val="decimal"/>
      <w:lvlText w:val="%4."/>
      <w:lvlJc w:val="left"/>
      <w:pPr>
        <w:ind w:left="4822" w:hanging="360"/>
      </w:pPr>
    </w:lvl>
    <w:lvl w:ilvl="4" w:tentative="0">
      <w:start w:val="1"/>
      <w:numFmt w:val="lowerLetter"/>
      <w:lvlText w:val="%5."/>
      <w:lvlJc w:val="left"/>
      <w:pPr>
        <w:ind w:left="5542" w:hanging="360"/>
      </w:pPr>
    </w:lvl>
    <w:lvl w:ilvl="5" w:tentative="0">
      <w:start w:val="1"/>
      <w:numFmt w:val="lowerRoman"/>
      <w:lvlText w:val="%6."/>
      <w:lvlJc w:val="right"/>
      <w:pPr>
        <w:ind w:left="6262" w:hanging="180"/>
      </w:pPr>
    </w:lvl>
    <w:lvl w:ilvl="6" w:tentative="0">
      <w:start w:val="1"/>
      <w:numFmt w:val="decimal"/>
      <w:lvlText w:val="%7."/>
      <w:lvlJc w:val="left"/>
      <w:pPr>
        <w:ind w:left="6982" w:hanging="360"/>
      </w:pPr>
    </w:lvl>
    <w:lvl w:ilvl="7" w:tentative="0">
      <w:start w:val="1"/>
      <w:numFmt w:val="lowerLetter"/>
      <w:lvlText w:val="%8."/>
      <w:lvlJc w:val="left"/>
      <w:pPr>
        <w:ind w:left="7702" w:hanging="360"/>
      </w:pPr>
    </w:lvl>
    <w:lvl w:ilvl="8" w:tentative="0">
      <w:start w:val="1"/>
      <w:numFmt w:val="lowerRoman"/>
      <w:lvlText w:val="%9."/>
      <w:lvlJc w:val="right"/>
      <w:pPr>
        <w:ind w:left="8422" w:hanging="180"/>
      </w:pPr>
    </w:lvl>
  </w:abstractNum>
  <w:abstractNum w:abstractNumId="1">
    <w:nsid w:val="0D1A4FFD"/>
    <w:multiLevelType w:val="multilevel"/>
    <w:tmpl w:val="0D1A4FF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3D105F"/>
    <w:multiLevelType w:val="multilevel"/>
    <w:tmpl w:val="183D105F"/>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3">
    <w:nsid w:val="1A3755E5"/>
    <w:multiLevelType w:val="multilevel"/>
    <w:tmpl w:val="1A3755E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572483F"/>
    <w:multiLevelType w:val="multilevel"/>
    <w:tmpl w:val="2572483F"/>
    <w:lvl w:ilvl="0" w:tentative="0">
      <w:start w:val="2"/>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169107F"/>
    <w:multiLevelType w:val="multilevel"/>
    <w:tmpl w:val="4169107F"/>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6">
    <w:nsid w:val="436F3C7C"/>
    <w:multiLevelType w:val="multilevel"/>
    <w:tmpl w:val="436F3C7C"/>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4094163"/>
    <w:multiLevelType w:val="multilevel"/>
    <w:tmpl w:val="44094163"/>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360" w:hanging="360"/>
      </w:pPr>
      <w:rPr>
        <w:rFonts w:ascii="Times New Roman" w:hAnsi="Times New Roman" w:eastAsia="Times New Roman" w:cs="Times New Roman"/>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926095C"/>
    <w:multiLevelType w:val="multilevel"/>
    <w:tmpl w:val="492609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04C219E"/>
    <w:multiLevelType w:val="multilevel"/>
    <w:tmpl w:val="604C219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F80515"/>
    <w:multiLevelType w:val="singleLevel"/>
    <w:tmpl w:val="62F80515"/>
    <w:lvl w:ilvl="0" w:tentative="0">
      <w:start w:val="1"/>
      <w:numFmt w:val="decimal"/>
      <w:pStyle w:val="36"/>
      <w:lvlText w:val="%1."/>
      <w:lvlJc w:val="left"/>
      <w:pPr>
        <w:tabs>
          <w:tab w:val="left" w:pos="360"/>
        </w:tabs>
        <w:ind w:left="360" w:hanging="360"/>
      </w:pPr>
    </w:lvl>
  </w:abstractNum>
  <w:abstractNum w:abstractNumId="11">
    <w:nsid w:val="722F3858"/>
    <w:multiLevelType w:val="multilevel"/>
    <w:tmpl w:val="722F3858"/>
    <w:lvl w:ilvl="0" w:tentative="0">
      <w:start w:val="1"/>
      <w:numFmt w:val="decimal"/>
      <w:lvlText w:val="%1."/>
      <w:lvlJc w:val="left"/>
      <w:pPr>
        <w:ind w:left="1571" w:hanging="360"/>
      </w:pPr>
    </w:lvl>
    <w:lvl w:ilvl="1" w:tentative="0">
      <w:start w:val="2"/>
      <w:numFmt w:val="lowerLetter"/>
      <w:lvlText w:val="%2.)"/>
      <w:lvlJc w:val="left"/>
      <w:pPr>
        <w:ind w:left="2291" w:hanging="360"/>
      </w:pPr>
    </w:lvl>
    <w:lvl w:ilvl="2" w:tentative="0">
      <w:start w:val="1"/>
      <w:numFmt w:val="lowerLetter"/>
      <w:lvlText w:val="%3."/>
      <w:lvlJc w:val="left"/>
      <w:pPr>
        <w:ind w:left="3191" w:hanging="36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2">
    <w:nsid w:val="72EC1E82"/>
    <w:multiLevelType w:val="multilevel"/>
    <w:tmpl w:val="72EC1E82"/>
    <w:lvl w:ilvl="0" w:tentative="0">
      <w:start w:val="1"/>
      <w:numFmt w:val="decimal"/>
      <w:pStyle w:val="2"/>
      <w:lvlText w:val="%1."/>
      <w:lvlJc w:val="left"/>
      <w:pPr>
        <w:ind w:left="720" w:hanging="360"/>
      </w:pPr>
      <w:rPr>
        <w:b/>
      </w:rPr>
    </w:lvl>
    <w:lvl w:ilvl="1" w:tentative="0">
      <w:start w:val="1"/>
      <w:numFmt w:val="lowerLetter"/>
      <w:pStyle w:val="3"/>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rPr>
        <w:b w:val="0"/>
        <w:bCs/>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A9873FC"/>
    <w:multiLevelType w:val="multilevel"/>
    <w:tmpl w:val="7A9873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AC47E63"/>
    <w:multiLevelType w:val="multilevel"/>
    <w:tmpl w:val="7AC47E63"/>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2"/>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6"/>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31"/>
    <w:rsid w:val="0007659F"/>
    <w:rsid w:val="00293CE0"/>
    <w:rsid w:val="00467188"/>
    <w:rsid w:val="00620831"/>
    <w:rsid w:val="00772C03"/>
    <w:rsid w:val="007F1071"/>
    <w:rsid w:val="00A36DCF"/>
    <w:rsid w:val="00AC301E"/>
    <w:rsid w:val="2DF81616"/>
    <w:rsid w:val="3F0A147C"/>
    <w:rsid w:val="45234401"/>
    <w:rsid w:val="4DBA2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3"/>
    <w:qFormat/>
    <w:uiPriority w:val="9"/>
    <w:pPr>
      <w:keepNext/>
      <w:numPr>
        <w:ilvl w:val="0"/>
        <w:numId w:val="1"/>
      </w:numPr>
      <w:suppressAutoHyphens/>
      <w:jc w:val="both"/>
      <w:outlineLvl w:val="0"/>
    </w:pPr>
    <w:rPr>
      <w:b/>
      <w:sz w:val="20"/>
      <w:szCs w:val="20"/>
      <w:lang w:eastAsia="ar-SA"/>
    </w:rPr>
  </w:style>
  <w:style w:type="paragraph" w:styleId="3">
    <w:name w:val="heading 2"/>
    <w:basedOn w:val="1"/>
    <w:next w:val="1"/>
    <w:link w:val="24"/>
    <w:unhideWhenUsed/>
    <w:qFormat/>
    <w:uiPriority w:val="9"/>
    <w:pPr>
      <w:keepNext/>
      <w:numPr>
        <w:ilvl w:val="1"/>
        <w:numId w:val="1"/>
      </w:numPr>
      <w:suppressAutoHyphens/>
      <w:jc w:val="both"/>
      <w:outlineLvl w:val="1"/>
    </w:pPr>
    <w:rPr>
      <w:szCs w:val="20"/>
      <w:lang w:eastAsia="ar-SA"/>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3"/>
    <w:semiHidden/>
    <w:unhideWhenUsed/>
    <w:uiPriority w:val="99"/>
    <w:rPr>
      <w:rFonts w:ascii="Segoe UI" w:hAnsi="Segoe UI" w:cs="Segoe UI"/>
      <w:sz w:val="18"/>
      <w:szCs w:val="18"/>
    </w:rPr>
  </w:style>
  <w:style w:type="paragraph" w:styleId="11">
    <w:name w:val="Body Text Indent"/>
    <w:basedOn w:val="1"/>
    <w:link w:val="25"/>
    <w:qFormat/>
    <w:uiPriority w:val="0"/>
    <w:pPr>
      <w:suppressAutoHyphens/>
      <w:ind w:firstLine="567"/>
      <w:jc w:val="both"/>
    </w:pPr>
    <w:rPr>
      <w:sz w:val="20"/>
      <w:szCs w:val="20"/>
      <w:lang w:eastAsia="ar-SA"/>
    </w:rPr>
  </w:style>
  <w:style w:type="character" w:styleId="12">
    <w:name w:val="annotation reference"/>
    <w:basedOn w:val="8"/>
    <w:semiHidden/>
    <w:unhideWhenUsed/>
    <w:uiPriority w:val="99"/>
    <w:rPr>
      <w:sz w:val="16"/>
      <w:szCs w:val="16"/>
    </w:rPr>
  </w:style>
  <w:style w:type="paragraph" w:styleId="13">
    <w:name w:val="annotation text"/>
    <w:basedOn w:val="1"/>
    <w:link w:val="37"/>
    <w:semiHidden/>
    <w:unhideWhenUsed/>
    <w:uiPriority w:val="99"/>
    <w:rPr>
      <w:sz w:val="20"/>
      <w:szCs w:val="20"/>
    </w:rPr>
  </w:style>
  <w:style w:type="paragraph" w:styleId="14">
    <w:name w:val="annotation subject"/>
    <w:basedOn w:val="13"/>
    <w:next w:val="13"/>
    <w:link w:val="38"/>
    <w:semiHidden/>
    <w:unhideWhenUsed/>
    <w:uiPriority w:val="99"/>
    <w:rPr>
      <w:b/>
      <w:bCs/>
    </w:rPr>
  </w:style>
  <w:style w:type="paragraph" w:styleId="15">
    <w:name w:val="envelope return"/>
    <w:basedOn w:val="1"/>
    <w:unhideWhenUsed/>
    <w:uiPriority w:val="99"/>
    <w:rPr>
      <w:rFonts w:ascii="Cambria" w:hAnsi="Cambria"/>
      <w:sz w:val="20"/>
      <w:szCs w:val="20"/>
    </w:rPr>
  </w:style>
  <w:style w:type="paragraph" w:styleId="16">
    <w:name w:val="footer"/>
    <w:basedOn w:val="1"/>
    <w:link w:val="40"/>
    <w:unhideWhenUsed/>
    <w:uiPriority w:val="99"/>
    <w:pPr>
      <w:tabs>
        <w:tab w:val="center" w:pos="4680"/>
        <w:tab w:val="right" w:pos="9360"/>
      </w:tabs>
    </w:pPr>
  </w:style>
  <w:style w:type="paragraph" w:styleId="17">
    <w:name w:val="header"/>
    <w:basedOn w:val="1"/>
    <w:link w:val="39"/>
    <w:unhideWhenUsed/>
    <w:uiPriority w:val="99"/>
    <w:pPr>
      <w:tabs>
        <w:tab w:val="center" w:pos="4680"/>
        <w:tab w:val="right" w:pos="9360"/>
      </w:tabs>
    </w:pPr>
  </w:style>
  <w:style w:type="character" w:styleId="18">
    <w:name w:val="Hyperlink"/>
    <w:basedOn w:val="8"/>
    <w:uiPriority w:val="0"/>
    <w:rPr>
      <w:color w:val="0000FF"/>
      <w:u w:val="single"/>
    </w:rPr>
  </w:style>
  <w:style w:type="paragraph" w:styleId="19">
    <w:name w:val="Normal (Web)"/>
    <w:basedOn w:val="1"/>
    <w:uiPriority w:val="0"/>
    <w:pPr>
      <w:spacing w:before="100" w:beforeAutospacing="1" w:after="119"/>
    </w:pPr>
  </w:style>
  <w:style w:type="paragraph" w:styleId="20">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1">
    <w:name w:val="Table Grid"/>
    <w:basedOn w:val="9"/>
    <w:qFormat/>
    <w:uiPriority w:val="59"/>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1"/>
    <w:qFormat/>
    <w:uiPriority w:val="10"/>
    <w:pPr>
      <w:contextualSpacing/>
    </w:pPr>
    <w:rPr>
      <w:rFonts w:asciiTheme="majorHAnsi" w:hAnsiTheme="majorHAnsi" w:eastAsiaTheme="majorEastAsia" w:cstheme="majorBidi"/>
      <w:spacing w:val="-10"/>
      <w:kern w:val="28"/>
      <w:sz w:val="56"/>
      <w:szCs w:val="56"/>
    </w:rPr>
  </w:style>
  <w:style w:type="character" w:customStyle="1" w:styleId="23">
    <w:name w:val="Heading 1 Char"/>
    <w:basedOn w:val="8"/>
    <w:link w:val="2"/>
    <w:qFormat/>
    <w:uiPriority w:val="0"/>
    <w:rPr>
      <w:rFonts w:ascii="Times New Roman" w:hAnsi="Times New Roman" w:eastAsia="Times New Roman" w:cs="Times New Roman"/>
      <w:b/>
      <w:sz w:val="20"/>
      <w:szCs w:val="20"/>
      <w:lang w:val="en-US" w:eastAsia="ar-SA"/>
    </w:rPr>
  </w:style>
  <w:style w:type="character" w:customStyle="1" w:styleId="24">
    <w:name w:val="Heading 2 Char"/>
    <w:basedOn w:val="8"/>
    <w:link w:val="3"/>
    <w:qFormat/>
    <w:uiPriority w:val="0"/>
    <w:rPr>
      <w:rFonts w:ascii="Times New Roman" w:hAnsi="Times New Roman" w:eastAsia="Times New Roman" w:cs="Times New Roman"/>
      <w:sz w:val="24"/>
      <w:szCs w:val="20"/>
      <w:lang w:val="en-US" w:eastAsia="ar-SA"/>
    </w:rPr>
  </w:style>
  <w:style w:type="character" w:customStyle="1" w:styleId="25">
    <w:name w:val="Body Text Indent Char"/>
    <w:basedOn w:val="8"/>
    <w:link w:val="11"/>
    <w:uiPriority w:val="0"/>
    <w:rPr>
      <w:rFonts w:ascii="Times New Roman" w:hAnsi="Times New Roman" w:eastAsia="Times New Roman" w:cs="Times New Roman"/>
      <w:sz w:val="20"/>
      <w:szCs w:val="20"/>
      <w:lang w:val="en-US" w:eastAsia="ar-SA"/>
    </w:rPr>
  </w:style>
  <w:style w:type="paragraph" w:customStyle="1" w:styleId="26">
    <w:name w:val="Body"/>
    <w:basedOn w:val="11"/>
    <w:uiPriority w:val="0"/>
  </w:style>
  <w:style w:type="paragraph" w:customStyle="1" w:styleId="27">
    <w:name w:val="Body Abstract"/>
    <w:basedOn w:val="2"/>
    <w:qFormat/>
    <w:uiPriority w:val="0"/>
    <w:pPr>
      <w:numPr>
        <w:ilvl w:val="0"/>
        <w:numId w:val="0"/>
      </w:numPr>
      <w:ind w:left="567" w:right="567"/>
      <w:outlineLvl w:val="9"/>
    </w:pPr>
    <w:rPr>
      <w:b w:val="0"/>
      <w:i/>
    </w:rPr>
  </w:style>
  <w:style w:type="paragraph" w:customStyle="1" w:styleId="28">
    <w:name w:val="Style Title"/>
    <w:basedOn w:val="22"/>
    <w:uiPriority w:val="0"/>
    <w:pPr>
      <w:suppressAutoHyphens/>
      <w:contextualSpacing w:val="0"/>
      <w:jc w:val="center"/>
    </w:pPr>
    <w:rPr>
      <w:rFonts w:ascii="Times New Roman" w:hAnsi="Times New Roman" w:eastAsia="Times New Roman" w:cs="Arial"/>
      <w:b/>
      <w:bCs/>
      <w:spacing w:val="0"/>
      <w:kern w:val="1"/>
      <w:sz w:val="24"/>
      <w:szCs w:val="32"/>
      <w:lang w:eastAsia="ar-SA"/>
    </w:rPr>
  </w:style>
  <w:style w:type="paragraph" w:customStyle="1" w:styleId="29">
    <w:name w:val="Author"/>
    <w:basedOn w:val="1"/>
    <w:uiPriority w:val="0"/>
    <w:pPr>
      <w:jc w:val="center"/>
    </w:pPr>
    <w:rPr>
      <w:b/>
    </w:rPr>
  </w:style>
  <w:style w:type="paragraph" w:customStyle="1" w:styleId="30">
    <w:name w:val="Abstract Title"/>
    <w:basedOn w:val="1"/>
    <w:uiPriority w:val="0"/>
    <w:pPr>
      <w:jc w:val="center"/>
    </w:pPr>
    <w:rPr>
      <w:b/>
      <w:sz w:val="20"/>
      <w:szCs w:val="20"/>
    </w:rPr>
  </w:style>
  <w:style w:type="character" w:customStyle="1" w:styleId="31">
    <w:name w:val="Title Char"/>
    <w:basedOn w:val="8"/>
    <w:link w:val="22"/>
    <w:uiPriority w:val="10"/>
    <w:rPr>
      <w:rFonts w:asciiTheme="majorHAnsi" w:hAnsiTheme="majorHAnsi" w:eastAsiaTheme="majorEastAsia" w:cstheme="majorBidi"/>
      <w:spacing w:val="-10"/>
      <w:kern w:val="28"/>
      <w:sz w:val="56"/>
      <w:szCs w:val="56"/>
      <w:lang w:val="en-US"/>
    </w:rPr>
  </w:style>
  <w:style w:type="paragraph" w:styleId="32">
    <w:name w:val="List Paragraph"/>
    <w:basedOn w:val="1"/>
    <w:qFormat/>
    <w:uiPriority w:val="34"/>
    <w:pPr>
      <w:spacing w:before="240" w:after="200" w:line="276" w:lineRule="auto"/>
      <w:ind w:left="720"/>
      <w:contextualSpacing/>
    </w:pPr>
    <w:rPr>
      <w:rFonts w:ascii="Calibri" w:hAnsi="Calibri" w:eastAsia="Calibri"/>
      <w:sz w:val="22"/>
      <w:szCs w:val="22"/>
    </w:rPr>
  </w:style>
  <w:style w:type="character" w:customStyle="1" w:styleId="33">
    <w:name w:val="Balloon Text Char"/>
    <w:basedOn w:val="8"/>
    <w:link w:val="10"/>
    <w:semiHidden/>
    <w:uiPriority w:val="99"/>
    <w:rPr>
      <w:rFonts w:ascii="Segoe UI" w:hAnsi="Segoe UI" w:eastAsia="Times New Roman" w:cs="Segoe UI"/>
      <w:sz w:val="18"/>
      <w:szCs w:val="18"/>
      <w:lang w:val="en-US"/>
    </w:rPr>
  </w:style>
  <w:style w:type="table" w:customStyle="1" w:styleId="34">
    <w:name w:val="_Style 27"/>
    <w:basedOn w:val="9"/>
    <w:uiPriority w:val="0"/>
    <w:tblPr>
      <w:tblCellMar>
        <w:left w:w="115" w:type="dxa"/>
        <w:right w:w="115" w:type="dxa"/>
      </w:tblCellMar>
    </w:tblPr>
  </w:style>
  <w:style w:type="character" w:customStyle="1" w:styleId="35">
    <w:name w:val="Unresolved Mention"/>
    <w:basedOn w:val="8"/>
    <w:semiHidden/>
    <w:unhideWhenUsed/>
    <w:uiPriority w:val="99"/>
    <w:rPr>
      <w:color w:val="605E5C"/>
      <w:shd w:val="clear" w:color="auto" w:fill="E1DFDD"/>
    </w:rPr>
  </w:style>
  <w:style w:type="paragraph" w:customStyle="1" w:styleId="36">
    <w:name w:val="yange2"/>
    <w:basedOn w:val="1"/>
    <w:uiPriority w:val="0"/>
    <w:pPr>
      <w:numPr>
        <w:ilvl w:val="0"/>
        <w:numId w:val="2"/>
      </w:numPr>
      <w:jc w:val="both"/>
    </w:pPr>
    <w:rPr>
      <w:rFonts w:ascii="Arial" w:hAnsi="Arial" w:cs="Arial"/>
      <w:sz w:val="20"/>
    </w:rPr>
  </w:style>
  <w:style w:type="character" w:customStyle="1" w:styleId="37">
    <w:name w:val="Comment Text Char"/>
    <w:basedOn w:val="8"/>
    <w:link w:val="13"/>
    <w:semiHidden/>
    <w:uiPriority w:val="99"/>
    <w:rPr>
      <w:sz w:val="20"/>
      <w:szCs w:val="20"/>
      <w:lang w:val="en-US"/>
    </w:rPr>
  </w:style>
  <w:style w:type="character" w:customStyle="1" w:styleId="38">
    <w:name w:val="Comment Subject Char"/>
    <w:basedOn w:val="37"/>
    <w:link w:val="14"/>
    <w:semiHidden/>
    <w:uiPriority w:val="99"/>
    <w:rPr>
      <w:b/>
      <w:bCs/>
      <w:sz w:val="20"/>
      <w:szCs w:val="20"/>
      <w:lang w:val="en-US"/>
    </w:rPr>
  </w:style>
  <w:style w:type="character" w:customStyle="1" w:styleId="39">
    <w:name w:val="Header Char"/>
    <w:basedOn w:val="8"/>
    <w:link w:val="17"/>
    <w:uiPriority w:val="99"/>
    <w:rPr>
      <w:lang w:val="en-US"/>
    </w:rPr>
  </w:style>
  <w:style w:type="character" w:customStyle="1" w:styleId="40">
    <w:name w:val="Footer Char"/>
    <w:basedOn w:val="8"/>
    <w:link w:val="16"/>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4972</Words>
  <Characters>28345</Characters>
  <Lines>236</Lines>
  <Paragraphs>66</Paragraphs>
  <TotalTime>22</TotalTime>
  <ScaleCrop>false</ScaleCrop>
  <LinksUpToDate>false</LinksUpToDate>
  <CharactersWithSpaces>33251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2023-11-23T08:05:00Z</dcterms:created>
  <dc:creator>hesti</dc:creator>
  <cp:lastModifiedBy>asrilsafety</cp:lastModifiedBy>
  <dcterms:modified xsi:type="dcterms:W3CDTF">2023-11-24T04:30:11Z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77B46917451C4C5BBE972447E1FFEA44_13</vt:lpwstr>
  </property>
</Properties>
</file>